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spacing w:line="360" w:lineRule="auto"/>
        <w:rPr>
          <w:sz w:val="28"/>
          <w:szCs w:val="28"/>
        </w:rPr>
      </w:pPr>
      <w:r>
        <w:rPr>
          <w:rFonts w:hint="eastAsia"/>
          <w:sz w:val="28"/>
          <w:szCs w:val="28"/>
        </w:rPr>
        <w:t>附件1：报价表</w:t>
      </w:r>
    </w:p>
    <w:tbl>
      <w:tblPr>
        <w:tblStyle w:val="4"/>
        <w:tblW w:w="9095" w:type="dxa"/>
        <w:tblInd w:w="85" w:type="dxa"/>
        <w:tblLayout w:type="autofit"/>
        <w:tblCellMar>
          <w:top w:w="0" w:type="dxa"/>
          <w:left w:w="108" w:type="dxa"/>
          <w:bottom w:w="0" w:type="dxa"/>
          <w:right w:w="108" w:type="dxa"/>
        </w:tblCellMar>
      </w:tblPr>
      <w:tblGrid>
        <w:gridCol w:w="2150"/>
        <w:gridCol w:w="6945"/>
      </w:tblGrid>
      <w:tr>
        <w:tblPrEx>
          <w:tblCellMar>
            <w:top w:w="0" w:type="dxa"/>
            <w:left w:w="108" w:type="dxa"/>
            <w:bottom w:w="0" w:type="dxa"/>
            <w:right w:w="108" w:type="dxa"/>
          </w:tblCellMar>
        </w:tblPrEx>
        <w:trPr>
          <w:trHeight w:val="300" w:hRule="atLeast"/>
        </w:trPr>
        <w:tc>
          <w:tcPr>
            <w:tcW w:w="9095" w:type="dxa"/>
            <w:gridSpan w:val="2"/>
            <w:tcBorders>
              <w:top w:val="double" w:color="auto" w:sz="6" w:space="0"/>
              <w:left w:val="double" w:color="auto" w:sz="6" w:space="0"/>
              <w:bottom w:val="single" w:color="auto" w:sz="4" w:space="0"/>
              <w:right w:val="double" w:color="auto" w:sz="6" w:space="0"/>
            </w:tcBorders>
            <w:vAlign w:val="center"/>
          </w:tcPr>
          <w:p>
            <w:pPr>
              <w:widowControl/>
              <w:spacing w:before="156" w:beforeLines="50" w:after="156" w:afterLines="50" w:line="360" w:lineRule="auto"/>
              <w:jc w:val="center"/>
              <w:rPr>
                <w:rFonts w:ascii="黑体" w:hAnsi="黑体" w:eastAsia="黑体" w:cs="宋体"/>
                <w:bCs/>
                <w:color w:val="333333"/>
                <w:kern w:val="0"/>
                <w:sz w:val="24"/>
              </w:rPr>
            </w:pPr>
            <w:bookmarkStart w:id="0" w:name="_GoBack"/>
            <w:r>
              <w:rPr>
                <w:rFonts w:hint="eastAsia" w:ascii="黑体" w:hAnsi="黑体" w:eastAsia="黑体" w:cs="宋体"/>
                <w:bCs/>
                <w:color w:val="333333"/>
                <w:kern w:val="0"/>
                <w:sz w:val="32"/>
              </w:rPr>
              <w:t>报价表</w:t>
            </w:r>
            <w:bookmarkEnd w:id="0"/>
          </w:p>
        </w:tc>
      </w:tr>
      <w:tr>
        <w:tblPrEx>
          <w:tblCellMar>
            <w:top w:w="0" w:type="dxa"/>
            <w:left w:w="108" w:type="dxa"/>
            <w:bottom w:w="0" w:type="dxa"/>
            <w:right w:w="108" w:type="dxa"/>
          </w:tblCellMar>
        </w:tblPrEx>
        <w:trPr>
          <w:trHeight w:val="285" w:hRule="atLeast"/>
        </w:trPr>
        <w:tc>
          <w:tcPr>
            <w:tcW w:w="2150" w:type="dxa"/>
            <w:tcBorders>
              <w:left w:val="double" w:color="auto" w:sz="6" w:space="0"/>
              <w:right w:val="single" w:color="auto" w:sz="4" w:space="0"/>
            </w:tcBorders>
            <w:vAlign w:val="center"/>
          </w:tcPr>
          <w:p>
            <w:pPr>
              <w:widowControl/>
              <w:jc w:val="center"/>
              <w:rPr>
                <w:rFonts w:ascii="仿宋_GB2312" w:hAnsi="宋体" w:eastAsia="仿宋_GB2312" w:cs="宋体"/>
                <w:b/>
                <w:bCs/>
                <w:color w:val="333333"/>
                <w:kern w:val="0"/>
                <w:sz w:val="24"/>
              </w:rPr>
            </w:pPr>
            <w:r>
              <w:rPr>
                <w:rFonts w:hint="eastAsia" w:ascii="仿宋_GB2312" w:hAnsi="宋体" w:eastAsia="仿宋_GB2312" w:cs="宋体"/>
                <w:b/>
                <w:bCs/>
                <w:color w:val="333333"/>
                <w:kern w:val="0"/>
                <w:sz w:val="24"/>
              </w:rPr>
              <w:t>项目名称</w:t>
            </w:r>
          </w:p>
        </w:tc>
        <w:tc>
          <w:tcPr>
            <w:tcW w:w="6945" w:type="dxa"/>
            <w:tcBorders>
              <w:top w:val="nil"/>
              <w:left w:val="nil"/>
              <w:bottom w:val="single" w:color="auto" w:sz="4" w:space="0"/>
              <w:right w:val="double" w:color="auto" w:sz="6" w:space="0"/>
            </w:tcBorders>
            <w:vAlign w:val="center"/>
          </w:tcPr>
          <w:p>
            <w:pPr>
              <w:widowControl/>
              <w:spacing w:before="156" w:beforeLines="50" w:after="156" w:afterLines="50" w:line="360" w:lineRule="auto"/>
              <w:jc w:val="left"/>
              <w:rPr>
                <w:rFonts w:ascii="仿宋_GB2312" w:hAnsi="宋体" w:eastAsia="仿宋_GB2312" w:cs="宋体"/>
                <w:color w:val="333333"/>
                <w:kern w:val="0"/>
                <w:sz w:val="24"/>
              </w:rPr>
            </w:pPr>
            <w:r>
              <w:rPr>
                <w:rFonts w:hint="eastAsia"/>
                <w:sz w:val="24"/>
              </w:rPr>
              <w:t>恩施高新区立讯产业园自建110kV专用变电站项目</w:t>
            </w:r>
          </w:p>
        </w:tc>
      </w:tr>
      <w:tr>
        <w:tblPrEx>
          <w:tblCellMar>
            <w:top w:w="0" w:type="dxa"/>
            <w:left w:w="108" w:type="dxa"/>
            <w:bottom w:w="0" w:type="dxa"/>
            <w:right w:w="108" w:type="dxa"/>
          </w:tblCellMar>
        </w:tblPrEx>
        <w:trPr>
          <w:trHeight w:val="285" w:hRule="atLeast"/>
        </w:trPr>
        <w:tc>
          <w:tcPr>
            <w:tcW w:w="2150" w:type="dxa"/>
            <w:tcBorders>
              <w:top w:val="single" w:color="000000" w:sz="4" w:space="0"/>
              <w:left w:val="double" w:color="auto" w:sz="6" w:space="0"/>
              <w:right w:val="single" w:color="auto" w:sz="4" w:space="0"/>
            </w:tcBorders>
            <w:vAlign w:val="center"/>
          </w:tcPr>
          <w:p>
            <w:pPr>
              <w:widowControl/>
              <w:jc w:val="center"/>
              <w:rPr>
                <w:rFonts w:ascii="仿宋_GB2312" w:hAnsi="宋体" w:eastAsia="仿宋_GB2312" w:cs="宋体"/>
                <w:b/>
                <w:bCs/>
                <w:color w:val="333333"/>
                <w:kern w:val="0"/>
                <w:sz w:val="24"/>
              </w:rPr>
            </w:pPr>
            <w:r>
              <w:rPr>
                <w:rFonts w:hint="eastAsia" w:ascii="仿宋_GB2312" w:hAnsi="宋体" w:eastAsia="仿宋_GB2312" w:cs="宋体"/>
                <w:b/>
                <w:bCs/>
                <w:color w:val="333333"/>
                <w:kern w:val="0"/>
                <w:sz w:val="24"/>
              </w:rPr>
              <w:t>采购业务</w:t>
            </w:r>
          </w:p>
        </w:tc>
        <w:tc>
          <w:tcPr>
            <w:tcW w:w="6945" w:type="dxa"/>
            <w:tcBorders>
              <w:top w:val="nil"/>
              <w:left w:val="nil"/>
              <w:bottom w:val="single" w:color="auto" w:sz="4" w:space="0"/>
              <w:right w:val="double" w:color="auto" w:sz="6" w:space="0"/>
            </w:tcBorders>
            <w:vAlign w:val="center"/>
          </w:tcPr>
          <w:p>
            <w:pPr>
              <w:widowControl/>
              <w:spacing w:before="156" w:beforeLines="50" w:after="156" w:afterLines="50" w:line="360" w:lineRule="auto"/>
              <w:jc w:val="left"/>
              <w:rPr>
                <w:rFonts w:ascii="仿宋_GB2312" w:hAnsi="宋体" w:eastAsia="仿宋_GB2312" w:cs="宋体"/>
                <w:color w:val="333333"/>
                <w:kern w:val="0"/>
                <w:sz w:val="24"/>
              </w:rPr>
            </w:pPr>
            <w:r>
              <w:rPr>
                <w:rFonts w:hint="eastAsia"/>
                <w:sz w:val="24"/>
                <w:u w:val="single"/>
              </w:rPr>
              <w:t>质量监督检查检测服务</w:t>
            </w:r>
          </w:p>
        </w:tc>
      </w:tr>
      <w:tr>
        <w:tblPrEx>
          <w:tblCellMar>
            <w:top w:w="0" w:type="dxa"/>
            <w:left w:w="108" w:type="dxa"/>
            <w:bottom w:w="0" w:type="dxa"/>
            <w:right w:w="108" w:type="dxa"/>
          </w:tblCellMar>
        </w:tblPrEx>
        <w:trPr>
          <w:trHeight w:val="285" w:hRule="atLeast"/>
        </w:trPr>
        <w:tc>
          <w:tcPr>
            <w:tcW w:w="2150" w:type="dxa"/>
            <w:vMerge w:val="restart"/>
            <w:tcBorders>
              <w:top w:val="single" w:color="000000" w:sz="4" w:space="0"/>
              <w:left w:val="double" w:color="auto" w:sz="6" w:space="0"/>
              <w:right w:val="single" w:color="auto" w:sz="4" w:space="0"/>
            </w:tcBorders>
            <w:vAlign w:val="center"/>
          </w:tcPr>
          <w:p>
            <w:pPr>
              <w:widowControl/>
              <w:jc w:val="center"/>
              <w:rPr>
                <w:rFonts w:ascii="仿宋_GB2312" w:hAnsi="宋体" w:eastAsia="仿宋_GB2312" w:cs="宋体"/>
                <w:b/>
                <w:bCs/>
                <w:color w:val="333333"/>
                <w:kern w:val="0"/>
                <w:sz w:val="24"/>
              </w:rPr>
            </w:pPr>
            <w:r>
              <w:rPr>
                <w:rFonts w:hint="eastAsia" w:ascii="仿宋_GB2312" w:hAnsi="宋体" w:eastAsia="仿宋_GB2312" w:cs="宋体"/>
                <w:b/>
                <w:bCs/>
                <w:color w:val="333333"/>
                <w:kern w:val="0"/>
                <w:sz w:val="24"/>
              </w:rPr>
              <w:t>含税报价（万元）</w:t>
            </w:r>
          </w:p>
        </w:tc>
        <w:tc>
          <w:tcPr>
            <w:tcW w:w="6945" w:type="dxa"/>
            <w:tcBorders>
              <w:top w:val="single" w:color="auto" w:sz="4" w:space="0"/>
              <w:left w:val="nil"/>
              <w:right w:val="double" w:color="auto" w:sz="6" w:space="0"/>
            </w:tcBorders>
            <w:vAlign w:val="center"/>
          </w:tcPr>
          <w:p>
            <w:pPr>
              <w:widowControl/>
              <w:spacing w:before="156" w:beforeLines="50" w:line="360" w:lineRule="auto"/>
              <w:jc w:val="left"/>
              <w:rPr>
                <w:rFonts w:ascii="仿宋_GB2312" w:hAnsi="宋体" w:eastAsia="仿宋_GB2312" w:cs="宋体"/>
                <w:color w:val="333333"/>
                <w:kern w:val="0"/>
                <w:sz w:val="24"/>
              </w:rPr>
            </w:pPr>
            <w:r>
              <w:rPr>
                <w:rFonts w:hint="eastAsia" w:ascii="仿宋_GB2312" w:hAnsi="宋体" w:eastAsia="仿宋_GB2312" w:cs="宋体"/>
                <w:color w:val="333333"/>
                <w:kern w:val="0"/>
                <w:sz w:val="24"/>
              </w:rPr>
              <w:t xml:space="preserve"> 小写：</w:t>
            </w:r>
          </w:p>
        </w:tc>
      </w:tr>
      <w:tr>
        <w:tblPrEx>
          <w:tblCellMar>
            <w:top w:w="0" w:type="dxa"/>
            <w:left w:w="108" w:type="dxa"/>
            <w:bottom w:w="0" w:type="dxa"/>
            <w:right w:w="108" w:type="dxa"/>
          </w:tblCellMar>
        </w:tblPrEx>
        <w:trPr>
          <w:trHeight w:val="285" w:hRule="atLeast"/>
        </w:trPr>
        <w:tc>
          <w:tcPr>
            <w:tcW w:w="2150" w:type="dxa"/>
            <w:vMerge w:val="continue"/>
            <w:tcBorders>
              <w:top w:val="single" w:color="000000" w:sz="4" w:space="0"/>
              <w:left w:val="double" w:color="auto" w:sz="6" w:space="0"/>
              <w:right w:val="single" w:color="auto" w:sz="4" w:space="0"/>
            </w:tcBorders>
            <w:vAlign w:val="center"/>
          </w:tcPr>
          <w:p>
            <w:pPr>
              <w:widowControl/>
              <w:jc w:val="center"/>
              <w:rPr>
                <w:rFonts w:ascii="仿宋_GB2312" w:hAnsi="宋体" w:eastAsia="仿宋_GB2312" w:cs="宋体"/>
                <w:b/>
                <w:bCs/>
                <w:color w:val="333333"/>
                <w:kern w:val="0"/>
                <w:sz w:val="24"/>
              </w:rPr>
            </w:pPr>
          </w:p>
        </w:tc>
        <w:tc>
          <w:tcPr>
            <w:tcW w:w="6945" w:type="dxa"/>
            <w:tcBorders>
              <w:top w:val="nil"/>
              <w:left w:val="nil"/>
              <w:bottom w:val="single" w:color="auto" w:sz="4" w:space="0"/>
              <w:right w:val="double" w:color="auto" w:sz="6" w:space="0"/>
            </w:tcBorders>
            <w:vAlign w:val="center"/>
          </w:tcPr>
          <w:p>
            <w:pPr>
              <w:widowControl/>
              <w:spacing w:line="360" w:lineRule="auto"/>
              <w:jc w:val="left"/>
              <w:rPr>
                <w:rFonts w:ascii="仿宋_GB2312" w:hAnsi="宋体" w:eastAsia="仿宋_GB2312" w:cs="宋体"/>
                <w:color w:val="333333"/>
                <w:kern w:val="0"/>
                <w:sz w:val="24"/>
              </w:rPr>
            </w:pPr>
            <w:r>
              <w:rPr>
                <w:rFonts w:hint="eastAsia" w:ascii="仿宋_GB2312" w:hAnsi="宋体" w:eastAsia="仿宋_GB2312" w:cs="宋体"/>
                <w:color w:val="333333"/>
                <w:kern w:val="0"/>
                <w:sz w:val="24"/>
              </w:rPr>
              <w:t xml:space="preserve"> 大写：</w:t>
            </w:r>
          </w:p>
          <w:p>
            <w:pPr>
              <w:widowControl/>
              <w:ind w:firstLine="120" w:firstLineChars="50"/>
              <w:jc w:val="left"/>
              <w:rPr>
                <w:rFonts w:ascii="仿宋_GB2312" w:hAnsi="宋体" w:eastAsia="仿宋_GB2312" w:cs="宋体"/>
                <w:color w:val="333333"/>
                <w:kern w:val="0"/>
                <w:sz w:val="24"/>
              </w:rPr>
            </w:pPr>
            <w:r>
              <w:rPr>
                <w:rFonts w:hint="eastAsia" w:ascii="仿宋_GB2312" w:hAnsi="宋体" w:eastAsia="仿宋_GB2312" w:cs="宋体"/>
                <w:color w:val="333333"/>
                <w:kern w:val="0"/>
                <w:sz w:val="24"/>
              </w:rPr>
              <w:t>注：本次采购的有效报价的最高限价为</w:t>
            </w:r>
            <w:r>
              <w:rPr>
                <w:rFonts w:hint="eastAsia" w:ascii="仿宋_GB2312" w:hAnsi="宋体" w:eastAsia="仿宋_GB2312" w:cs="宋体"/>
                <w:color w:val="333333"/>
                <w:kern w:val="0"/>
                <w:sz w:val="24"/>
                <w:highlight w:val="yellow"/>
                <w:u w:val="single"/>
              </w:rPr>
              <w:t>18.1</w:t>
            </w:r>
            <w:r>
              <w:rPr>
                <w:rFonts w:hint="eastAsia" w:ascii="仿宋_GB2312" w:hAnsi="宋体" w:eastAsia="仿宋_GB2312" w:cs="宋体"/>
                <w:color w:val="333333"/>
                <w:kern w:val="0"/>
                <w:sz w:val="24"/>
                <w:highlight w:val="yellow"/>
              </w:rPr>
              <w:t>万元</w:t>
            </w:r>
            <w:r>
              <w:rPr>
                <w:rFonts w:hint="eastAsia" w:ascii="仿宋_GB2312" w:hAnsi="宋体" w:eastAsia="仿宋_GB2312" w:cs="宋体"/>
                <w:color w:val="333333"/>
                <w:kern w:val="0"/>
                <w:sz w:val="24"/>
              </w:rPr>
              <w:t>（</w:t>
            </w:r>
            <w:r>
              <w:rPr>
                <w:rFonts w:hint="eastAsia" w:ascii="仿宋_GB2312" w:hAnsi="宋体" w:eastAsia="仿宋_GB2312" w:cs="宋体"/>
                <w:b/>
                <w:color w:val="333333"/>
                <w:kern w:val="0"/>
                <w:sz w:val="24"/>
              </w:rPr>
              <w:t>供应商报价不得超过此限价，否则视为自动放弃参与询价的资格</w:t>
            </w:r>
            <w:r>
              <w:rPr>
                <w:rFonts w:hint="eastAsia" w:ascii="仿宋_GB2312" w:hAnsi="宋体" w:eastAsia="仿宋_GB2312" w:cs="宋体"/>
                <w:color w:val="333333"/>
                <w:kern w:val="0"/>
                <w:sz w:val="24"/>
              </w:rPr>
              <w:t>）</w:t>
            </w:r>
          </w:p>
        </w:tc>
      </w:tr>
      <w:tr>
        <w:tblPrEx>
          <w:tblCellMar>
            <w:top w:w="0" w:type="dxa"/>
            <w:left w:w="108" w:type="dxa"/>
            <w:bottom w:w="0" w:type="dxa"/>
            <w:right w:w="108" w:type="dxa"/>
          </w:tblCellMar>
        </w:tblPrEx>
        <w:trPr>
          <w:trHeight w:val="285" w:hRule="atLeast"/>
        </w:trPr>
        <w:tc>
          <w:tcPr>
            <w:tcW w:w="2150" w:type="dxa"/>
            <w:tcBorders>
              <w:top w:val="single" w:color="000000" w:sz="4" w:space="0"/>
              <w:left w:val="double" w:color="auto" w:sz="6" w:space="0"/>
              <w:right w:val="single" w:color="auto" w:sz="4" w:space="0"/>
            </w:tcBorders>
            <w:vAlign w:val="center"/>
          </w:tcPr>
          <w:p>
            <w:pPr>
              <w:widowControl/>
              <w:jc w:val="center"/>
              <w:rPr>
                <w:rFonts w:ascii="仿宋_GB2312" w:hAnsi="宋体" w:eastAsia="仿宋_GB2312" w:cs="宋体"/>
                <w:b/>
                <w:bCs/>
                <w:color w:val="333333"/>
                <w:kern w:val="0"/>
                <w:sz w:val="24"/>
              </w:rPr>
            </w:pPr>
            <w:r>
              <w:rPr>
                <w:rFonts w:hint="eastAsia" w:ascii="仿宋_GB2312" w:hAnsi="宋体" w:eastAsia="仿宋_GB2312" w:cs="宋体"/>
                <w:b/>
                <w:bCs/>
                <w:color w:val="333333"/>
                <w:kern w:val="0"/>
                <w:sz w:val="24"/>
              </w:rPr>
              <w:t>承诺</w:t>
            </w:r>
          </w:p>
        </w:tc>
        <w:tc>
          <w:tcPr>
            <w:tcW w:w="6945" w:type="dxa"/>
            <w:tcBorders>
              <w:top w:val="nil"/>
              <w:left w:val="nil"/>
              <w:bottom w:val="single" w:color="auto" w:sz="4" w:space="0"/>
              <w:right w:val="double" w:color="auto" w:sz="6" w:space="0"/>
            </w:tcBorders>
            <w:vAlign w:val="center"/>
          </w:tcPr>
          <w:p>
            <w:pPr>
              <w:widowControl/>
              <w:wordWrap w:val="0"/>
              <w:topLinePunct/>
              <w:spacing w:after="156" w:afterLines="50" w:line="360" w:lineRule="auto"/>
              <w:ind w:firstLine="360" w:firstLineChars="150"/>
              <w:jc w:val="left"/>
              <w:rPr>
                <w:rFonts w:ascii="仿宋_GB2312" w:hAnsi="宋体" w:eastAsia="仿宋_GB2312" w:cs="宋体"/>
                <w:color w:val="333333"/>
                <w:kern w:val="0"/>
                <w:sz w:val="24"/>
              </w:rPr>
            </w:pPr>
            <w:r>
              <w:rPr>
                <w:rFonts w:hint="eastAsia" w:ascii="仿宋_GB2312" w:hAnsi="宋体" w:eastAsia="仿宋_GB2312" w:cs="宋体"/>
                <w:color w:val="333333"/>
                <w:kern w:val="0"/>
                <w:sz w:val="24"/>
              </w:rPr>
              <w:t>若供应商（受托方）出具的工程质量抽查验证的专家意见和检测报告电力主管部门不认可，则采购人（委托方）不支付供应商任何服务费用，且委托方有权无条件单方面解除合同。（</w:t>
            </w:r>
            <w:r>
              <w:rPr>
                <w:rFonts w:hint="eastAsia" w:ascii="仿宋_GB2312" w:hAnsi="宋体" w:eastAsia="仿宋_GB2312" w:cs="宋体"/>
                <w:b/>
                <w:color w:val="333333"/>
                <w:kern w:val="0"/>
                <w:sz w:val="24"/>
              </w:rPr>
              <w:t>本承诺将作为后续合同的违约条款之一</w:t>
            </w:r>
            <w:r>
              <w:rPr>
                <w:rFonts w:hint="eastAsia" w:ascii="仿宋_GB2312" w:hAnsi="宋体" w:eastAsia="仿宋_GB2312" w:cs="宋体"/>
                <w:color w:val="333333"/>
                <w:kern w:val="0"/>
                <w:sz w:val="24"/>
              </w:rPr>
              <w:t>）</w:t>
            </w:r>
          </w:p>
        </w:tc>
      </w:tr>
      <w:tr>
        <w:tblPrEx>
          <w:tblCellMar>
            <w:top w:w="0" w:type="dxa"/>
            <w:left w:w="108" w:type="dxa"/>
            <w:bottom w:w="0" w:type="dxa"/>
            <w:right w:w="108" w:type="dxa"/>
          </w:tblCellMar>
        </w:tblPrEx>
        <w:trPr>
          <w:trHeight w:val="270" w:hRule="atLeast"/>
        </w:trPr>
        <w:tc>
          <w:tcPr>
            <w:tcW w:w="9095" w:type="dxa"/>
            <w:gridSpan w:val="2"/>
            <w:tcBorders>
              <w:top w:val="single" w:color="auto" w:sz="4" w:space="0"/>
              <w:left w:val="double" w:color="auto" w:sz="6" w:space="0"/>
              <w:bottom w:val="nil"/>
              <w:right w:val="double" w:color="000000" w:sz="6" w:space="0"/>
            </w:tcBorders>
            <w:noWrap/>
            <w:vAlign w:val="bottom"/>
          </w:tcPr>
          <w:p>
            <w:pPr>
              <w:widowControl/>
              <w:wordWrap w:val="0"/>
              <w:spacing w:before="312" w:beforeLines="100" w:line="480" w:lineRule="auto"/>
              <w:jc w:val="right"/>
              <w:rPr>
                <w:rFonts w:ascii="宋体" w:hAnsi="宋体" w:cs="宋体"/>
                <w:color w:val="000000"/>
                <w:kern w:val="0"/>
                <w:sz w:val="22"/>
                <w:szCs w:val="22"/>
              </w:rPr>
            </w:pPr>
            <w:r>
              <w:rPr>
                <w:rFonts w:hint="eastAsia" w:ascii="宋体" w:hAnsi="宋体" w:cs="宋体"/>
                <w:color w:val="000000"/>
                <w:kern w:val="0"/>
                <w:sz w:val="22"/>
                <w:szCs w:val="22"/>
              </w:rPr>
              <w:t>单位（盖章）：</w:t>
            </w:r>
            <w:r>
              <w:rPr>
                <w:rFonts w:hint="eastAsia" w:ascii="宋体" w:hAnsi="宋体" w:cs="宋体"/>
                <w:color w:val="000000"/>
                <w:kern w:val="0"/>
                <w:sz w:val="22"/>
                <w:szCs w:val="22"/>
                <w:u w:val="single"/>
              </w:rPr>
              <w:t xml:space="preserve">                            </w:t>
            </w:r>
          </w:p>
        </w:tc>
      </w:tr>
      <w:tr>
        <w:tblPrEx>
          <w:tblCellMar>
            <w:top w:w="0" w:type="dxa"/>
            <w:left w:w="108" w:type="dxa"/>
            <w:bottom w:w="0" w:type="dxa"/>
            <w:right w:w="108" w:type="dxa"/>
          </w:tblCellMar>
        </w:tblPrEx>
        <w:trPr>
          <w:trHeight w:val="270" w:hRule="atLeast"/>
        </w:trPr>
        <w:tc>
          <w:tcPr>
            <w:tcW w:w="9095" w:type="dxa"/>
            <w:gridSpan w:val="2"/>
            <w:tcBorders>
              <w:top w:val="nil"/>
              <w:left w:val="double" w:color="auto" w:sz="6" w:space="0"/>
              <w:bottom w:val="nil"/>
              <w:right w:val="double" w:color="000000" w:sz="6" w:space="0"/>
            </w:tcBorders>
            <w:noWrap/>
            <w:vAlign w:val="bottom"/>
          </w:tcPr>
          <w:p>
            <w:pPr>
              <w:widowControl/>
              <w:wordWrap w:val="0"/>
              <w:spacing w:line="480" w:lineRule="auto"/>
              <w:jc w:val="right"/>
              <w:rPr>
                <w:rFonts w:ascii="宋体" w:hAnsi="宋体" w:cs="宋体"/>
                <w:color w:val="000000"/>
                <w:kern w:val="0"/>
                <w:sz w:val="22"/>
                <w:szCs w:val="22"/>
                <w:u w:val="single"/>
              </w:rPr>
            </w:pPr>
            <w:r>
              <w:rPr>
                <w:rFonts w:hint="eastAsia" w:ascii="宋体" w:hAnsi="宋体" w:cs="宋体"/>
                <w:color w:val="000000"/>
                <w:kern w:val="0"/>
                <w:sz w:val="22"/>
                <w:szCs w:val="22"/>
              </w:rPr>
              <w:t>法定代表人（签字或盖章）：</w:t>
            </w:r>
            <w:r>
              <w:rPr>
                <w:rFonts w:hint="eastAsia" w:ascii="宋体" w:hAnsi="宋体" w:cs="宋体"/>
                <w:color w:val="000000"/>
                <w:kern w:val="0"/>
                <w:sz w:val="22"/>
                <w:szCs w:val="22"/>
                <w:u w:val="single"/>
              </w:rPr>
              <w:t xml:space="preserve">                  </w:t>
            </w:r>
          </w:p>
          <w:p>
            <w:pPr>
              <w:widowControl/>
              <w:wordWrap w:val="0"/>
              <w:spacing w:line="480" w:lineRule="auto"/>
              <w:jc w:val="right"/>
              <w:rPr>
                <w:rFonts w:ascii="宋体" w:hAnsi="宋体" w:cs="宋体"/>
                <w:color w:val="000000"/>
                <w:kern w:val="0"/>
                <w:sz w:val="22"/>
                <w:szCs w:val="22"/>
              </w:rPr>
            </w:pPr>
            <w:r>
              <w:rPr>
                <w:rFonts w:hint="eastAsia" w:ascii="宋体" w:hAnsi="宋体" w:cs="宋体"/>
                <w:color w:val="000000"/>
                <w:kern w:val="0"/>
                <w:sz w:val="22"/>
                <w:szCs w:val="22"/>
              </w:rPr>
              <w:t>联系人</w:t>
            </w:r>
            <w:r>
              <w:rPr>
                <w:rFonts w:ascii="宋体" w:hAnsi="宋体" w:cs="宋体"/>
                <w:color w:val="000000"/>
                <w:kern w:val="0"/>
                <w:sz w:val="22"/>
                <w:szCs w:val="22"/>
              </w:rPr>
              <w:t>：</w:t>
            </w:r>
            <w:r>
              <w:rPr>
                <w:rFonts w:hint="eastAsia" w:ascii="宋体" w:hAnsi="宋体" w:cs="宋体"/>
                <w:color w:val="000000"/>
                <w:kern w:val="0"/>
                <w:sz w:val="22"/>
                <w:szCs w:val="22"/>
                <w:u w:val="single"/>
              </w:rPr>
              <w:t xml:space="preserve"> </w:t>
            </w:r>
            <w:r>
              <w:rPr>
                <w:rFonts w:ascii="宋体" w:hAnsi="宋体" w:cs="宋体"/>
                <w:color w:val="000000"/>
                <w:kern w:val="0"/>
                <w:sz w:val="22"/>
                <w:szCs w:val="22"/>
                <w:u w:val="single"/>
              </w:rPr>
              <w:t xml:space="preserve">                   </w:t>
            </w:r>
          </w:p>
          <w:p>
            <w:pPr>
              <w:widowControl/>
              <w:wordWrap w:val="0"/>
              <w:spacing w:line="480" w:lineRule="auto"/>
              <w:jc w:val="right"/>
              <w:rPr>
                <w:rFonts w:ascii="宋体" w:hAnsi="宋体" w:cs="宋体"/>
                <w:color w:val="000000"/>
                <w:kern w:val="0"/>
                <w:sz w:val="22"/>
                <w:szCs w:val="22"/>
              </w:rPr>
            </w:pPr>
            <w:r>
              <w:rPr>
                <w:rFonts w:hint="eastAsia" w:ascii="宋体" w:hAnsi="宋体" w:cs="宋体"/>
                <w:color w:val="000000"/>
                <w:kern w:val="0"/>
                <w:sz w:val="22"/>
                <w:szCs w:val="22"/>
              </w:rPr>
              <w:t>联系电话</w:t>
            </w:r>
            <w:r>
              <w:rPr>
                <w:rFonts w:ascii="宋体" w:hAnsi="宋体" w:cs="宋体"/>
                <w:color w:val="000000"/>
                <w:kern w:val="0"/>
                <w:sz w:val="22"/>
                <w:szCs w:val="22"/>
              </w:rPr>
              <w:t>：</w:t>
            </w:r>
            <w:r>
              <w:rPr>
                <w:rFonts w:hint="eastAsia" w:ascii="宋体" w:hAnsi="宋体" w:cs="宋体"/>
                <w:color w:val="000000"/>
                <w:kern w:val="0"/>
                <w:sz w:val="22"/>
                <w:szCs w:val="22"/>
                <w:u w:val="single"/>
              </w:rPr>
              <w:t xml:space="preserve"> </w:t>
            </w:r>
            <w:r>
              <w:rPr>
                <w:rFonts w:ascii="宋体" w:hAnsi="宋体" w:cs="宋体"/>
                <w:color w:val="000000"/>
                <w:kern w:val="0"/>
                <w:sz w:val="22"/>
                <w:szCs w:val="22"/>
                <w:u w:val="single"/>
              </w:rPr>
              <w:t xml:space="preserve">                   </w:t>
            </w:r>
          </w:p>
        </w:tc>
      </w:tr>
      <w:tr>
        <w:tblPrEx>
          <w:tblCellMar>
            <w:top w:w="0" w:type="dxa"/>
            <w:left w:w="108" w:type="dxa"/>
            <w:bottom w:w="0" w:type="dxa"/>
            <w:right w:w="108" w:type="dxa"/>
          </w:tblCellMar>
        </w:tblPrEx>
        <w:trPr>
          <w:trHeight w:val="285" w:hRule="atLeast"/>
        </w:trPr>
        <w:tc>
          <w:tcPr>
            <w:tcW w:w="9095" w:type="dxa"/>
            <w:gridSpan w:val="2"/>
            <w:tcBorders>
              <w:top w:val="nil"/>
              <w:left w:val="double" w:color="auto" w:sz="6" w:space="0"/>
              <w:bottom w:val="double" w:color="auto" w:sz="6" w:space="0"/>
              <w:right w:val="double" w:color="000000" w:sz="6" w:space="0"/>
            </w:tcBorders>
            <w:noWrap/>
            <w:vAlign w:val="bottom"/>
          </w:tcPr>
          <w:p>
            <w:pPr>
              <w:widowControl/>
              <w:wordWrap w:val="0"/>
              <w:spacing w:after="312" w:afterLines="100" w:line="480" w:lineRule="auto"/>
              <w:jc w:val="right"/>
              <w:rPr>
                <w:rFonts w:ascii="宋体" w:hAnsi="宋体" w:cs="宋体"/>
                <w:color w:val="000000"/>
                <w:kern w:val="0"/>
                <w:sz w:val="22"/>
                <w:szCs w:val="22"/>
              </w:rPr>
            </w:pPr>
            <w:r>
              <w:rPr>
                <w:rFonts w:hint="eastAsia" w:ascii="宋体" w:hAnsi="宋体" w:cs="宋体"/>
                <w:color w:val="000000"/>
                <w:kern w:val="0"/>
                <w:sz w:val="22"/>
                <w:szCs w:val="22"/>
                <w:u w:val="single"/>
              </w:rPr>
              <w:t xml:space="preserve">       </w:t>
            </w:r>
            <w:r>
              <w:rPr>
                <w:rFonts w:hint="eastAsia" w:ascii="宋体" w:hAnsi="宋体" w:cs="宋体"/>
                <w:color w:val="000000"/>
                <w:kern w:val="0"/>
                <w:sz w:val="22"/>
                <w:szCs w:val="22"/>
              </w:rPr>
              <w:t>年</w:t>
            </w:r>
            <w:r>
              <w:rPr>
                <w:rFonts w:hint="eastAsia" w:ascii="宋体" w:hAnsi="宋体" w:cs="宋体"/>
                <w:color w:val="000000"/>
                <w:kern w:val="0"/>
                <w:sz w:val="22"/>
                <w:szCs w:val="22"/>
                <w:u w:val="single"/>
              </w:rPr>
              <w:t xml:space="preserve">   </w:t>
            </w:r>
            <w:r>
              <w:rPr>
                <w:rFonts w:hint="eastAsia" w:ascii="宋体" w:hAnsi="宋体" w:cs="宋体"/>
                <w:color w:val="000000"/>
                <w:kern w:val="0"/>
                <w:sz w:val="22"/>
                <w:szCs w:val="22"/>
              </w:rPr>
              <w:t>月</w:t>
            </w:r>
            <w:r>
              <w:rPr>
                <w:rFonts w:hint="eastAsia" w:ascii="宋体" w:hAnsi="宋体" w:cs="宋体"/>
                <w:color w:val="000000"/>
                <w:kern w:val="0"/>
                <w:sz w:val="22"/>
                <w:szCs w:val="22"/>
                <w:u w:val="single"/>
              </w:rPr>
              <w:t xml:space="preserve">   </w:t>
            </w:r>
            <w:r>
              <w:rPr>
                <w:rFonts w:hint="eastAsia" w:ascii="宋体" w:hAnsi="宋体" w:cs="宋体"/>
                <w:color w:val="000000"/>
                <w:kern w:val="0"/>
                <w:sz w:val="22"/>
                <w:szCs w:val="22"/>
              </w:rPr>
              <w:t>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5B7139"/>
    <w:rsid w:val="155B7139"/>
    <w:rsid w:val="58EE15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2021-09-07T08:09:00Z</dcterms:created>
  <dc:creator>奔跑的五花肉</dc:creator>
  <cp:lastModifiedBy>奔跑的五花肉</cp:lastModifiedBy>
  <dcterms:modified xsi:type="dcterms:W3CDTF">2021-09-07T08:09:57Z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0262DBDF92D54438B840D568E6FD528D</vt:lpwstr>
  </property>
</Properties>
</file>