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  <w:r>
        <w:rPr>
          <w:rFonts w:ascii="黑体" w:hAnsi="黑体" w:eastAsia="黑体"/>
          <w:sz w:val="32"/>
          <w:szCs w:val="32"/>
        </w:rPr>
        <w:t>：</w:t>
      </w:r>
    </w:p>
    <w:p>
      <w:pPr>
        <w:rPr>
          <w:rFonts w:ascii="黑体" w:hAnsi="黑体" w:eastAsia="黑体"/>
          <w:sz w:val="32"/>
          <w:szCs w:val="32"/>
        </w:rPr>
      </w:pPr>
    </w:p>
    <w:tbl>
      <w:tblPr>
        <w:tblStyle w:val="2"/>
        <w:tblW w:w="9095" w:type="dxa"/>
        <w:tblInd w:w="8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0"/>
        <w:gridCol w:w="69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095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center"/>
              <w:rPr>
                <w:rFonts w:eastAsia="黑体"/>
                <w:bCs/>
                <w:color w:val="333333"/>
                <w:kern w:val="0"/>
                <w:sz w:val="24"/>
              </w:rPr>
            </w:pPr>
            <w:r>
              <w:rPr>
                <w:rFonts w:eastAsia="黑体"/>
                <w:bCs/>
                <w:color w:val="333333"/>
                <w:kern w:val="0"/>
                <w:sz w:val="32"/>
              </w:rPr>
              <w:t>报价表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  <w:t>项目名称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</w:rPr>
              <w:t>恩施土司城提档升级项目建筑工程(一期)戏楼区域土石方开挖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  <w:t>采购业务</w:t>
            </w: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after="156" w:after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</w:rPr>
              <w:t>土石方开挖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restart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bCs/>
                <w:color w:val="333333"/>
                <w:kern w:val="0"/>
                <w:sz w:val="24"/>
              </w:rPr>
            </w:pPr>
            <w:r>
              <w:rPr>
                <w:rFonts w:hint="eastAsia" w:ascii="黑体" w:hAnsi="黑体" w:eastAsia="黑体"/>
                <w:bCs/>
                <w:color w:val="333333"/>
                <w:kern w:val="0"/>
                <w:sz w:val="24"/>
              </w:rPr>
              <w:t>报价（含税）</w:t>
            </w:r>
          </w:p>
        </w:tc>
        <w:tc>
          <w:tcPr>
            <w:tcW w:w="6945" w:type="dxa"/>
            <w:tcBorders>
              <w:top w:val="single" w:color="auto" w:sz="4" w:space="0"/>
              <w:left w:val="nil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before="156" w:before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 xml:space="preserve"> 小写：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元/立方米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50" w:type="dxa"/>
            <w:vMerge w:val="continue"/>
            <w:tcBorders>
              <w:top w:val="single" w:color="000000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color w:val="333333"/>
                <w:kern w:val="0"/>
                <w:sz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single" w:color="auto" w:sz="4" w:space="0"/>
              <w:right w:val="doub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after="156" w:afterLines="50" w:line="360" w:lineRule="auto"/>
              <w:jc w:val="left"/>
              <w:rPr>
                <w:rFonts w:eastAsia="仿宋_GB2312"/>
                <w:color w:val="333333"/>
                <w:kern w:val="0"/>
                <w:sz w:val="24"/>
                <w:vertAlign w:val="superscript"/>
              </w:rPr>
            </w:pPr>
            <w:r>
              <w:rPr>
                <w:rFonts w:eastAsia="仿宋_GB2312"/>
                <w:color w:val="333333"/>
                <w:kern w:val="0"/>
                <w:sz w:val="24"/>
              </w:rPr>
              <w:t xml:space="preserve"> 大写：</w:t>
            </w:r>
            <w:r>
              <w:rPr>
                <w:rFonts w:eastAsia="仿宋_GB2312"/>
                <w:color w:val="333333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元/立方米</w:t>
            </w:r>
          </w:p>
          <w:p>
            <w:pPr>
              <w:widowControl/>
              <w:spacing w:after="156" w:afterLines="50" w:line="360" w:lineRule="auto"/>
              <w:ind w:firstLine="360" w:firstLineChars="150"/>
              <w:jc w:val="left"/>
              <w:rPr>
                <w:rFonts w:eastAsia="仿宋_GB2312"/>
                <w:color w:val="333333"/>
                <w:kern w:val="0"/>
                <w:sz w:val="24"/>
                <w:vertAlign w:val="superscript"/>
              </w:rPr>
            </w:pPr>
            <w:r>
              <w:rPr>
                <w:rFonts w:hint="eastAsia" w:eastAsia="仿宋_GB2312"/>
                <w:color w:val="333333"/>
                <w:kern w:val="0"/>
                <w:sz w:val="24"/>
              </w:rPr>
              <w:t>（报价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</w:rPr>
              <w:t>不得超过</w:t>
            </w:r>
            <w:r>
              <w:rPr>
                <w:rFonts w:eastAsia="仿宋_GB2312"/>
                <w:b/>
                <w:color w:val="333333"/>
                <w:kern w:val="0"/>
                <w:sz w:val="24"/>
              </w:rPr>
              <w:t>40</w:t>
            </w:r>
            <w:r>
              <w:rPr>
                <w:rFonts w:hint="eastAsia" w:eastAsia="仿宋_GB2312"/>
                <w:b/>
                <w:color w:val="333333"/>
                <w:kern w:val="0"/>
                <w:sz w:val="24"/>
              </w:rPr>
              <w:t>元/立方米</w:t>
            </w:r>
            <w:r>
              <w:rPr>
                <w:rFonts w:hint="eastAsia" w:eastAsia="仿宋_GB2312"/>
                <w:color w:val="333333"/>
                <w:kern w:val="0"/>
                <w:sz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single" w:color="auto" w:sz="4" w:space="0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before="312" w:beforeLines="100" w:line="480" w:lineRule="auto"/>
              <w:jc w:val="right"/>
              <w:rPr>
                <w:rFonts w:ascii="仿宋_GB2312"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单位（盖章）：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nil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line="480" w:lineRule="auto"/>
              <w:jc w:val="right"/>
              <w:rPr>
                <w:rFonts w:ascii="仿宋_GB2312"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法定代表人（签字或盖章）：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9095" w:type="dxa"/>
            <w:gridSpan w:val="2"/>
            <w:tcBorders>
              <w:top w:val="nil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noWrap/>
            <w:vAlign w:val="bottom"/>
          </w:tcPr>
          <w:p>
            <w:pPr>
              <w:widowControl/>
              <w:wordWrap w:val="0"/>
              <w:spacing w:after="312" w:afterLines="100" w:line="480" w:lineRule="auto"/>
              <w:jc w:val="right"/>
              <w:rPr>
                <w:rFonts w:ascii="仿宋_GB2312" w:eastAsia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年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502F5"/>
    <w:rsid w:val="56D5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2021-09-08T00:52:00Z</dcterms:created>
  <dc:creator>奔跑的五花肉</dc:creator>
  <cp:lastModifiedBy>奔跑的五花肉</cp:lastModifiedBy>
  <dcterms:modified xsi:type="dcterms:W3CDTF">2021-09-08T00:53:09Z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A7C3C758C8F140E593F6052166B0EB9F</vt:lpwstr>
  </property>
</Properties>
</file>