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黑体"/>
          <w:color w:val="000000" w:themeColor="text1"/>
          <w:kern w:val="0"/>
          <w:sz w:val="24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/>
          <w:color w:val="000000" w:themeColor="text1"/>
          <w:kern w:val="0"/>
          <w:sz w:val="24"/>
          <w:lang w:bidi="ar"/>
          <w14:textFill>
            <w14:solidFill>
              <w14:schemeClr w14:val="tx1"/>
            </w14:solidFill>
          </w14:textFill>
        </w:rPr>
        <w:t>附件</w:t>
      </w:r>
      <w:r>
        <w:rPr>
          <w:rFonts w:ascii="Times New Roman" w:hAnsi="Times New Roman" w:eastAsia="黑体"/>
          <w:color w:val="000000" w:themeColor="text1"/>
          <w:kern w:val="0"/>
          <w:sz w:val="24"/>
          <w:lang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kern w:val="0"/>
          <w:sz w:val="24"/>
          <w:lang w:bidi="ar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黑体"/>
          <w:color w:val="000000" w:themeColor="text1"/>
          <w:kern w:val="0"/>
          <w:sz w:val="24"/>
          <w:lang w:bidi="ar"/>
          <w14:textFill>
            <w14:solidFill>
              <w14:schemeClr w14:val="tx1"/>
            </w14:solidFill>
          </w14:textFill>
        </w:rPr>
        <w:t>：资格审查强制性资格条件</w:t>
      </w:r>
      <w:r>
        <w:rPr>
          <w:rFonts w:ascii="Times New Roman" w:hAnsi="Times New Roman" w:eastAsia="黑体"/>
          <w:color w:val="000000" w:themeColor="text1"/>
          <w:kern w:val="0"/>
          <w:sz w:val="24"/>
          <w:lang w:bidi="ar"/>
          <w14:textFill>
            <w14:solidFill>
              <w14:schemeClr w14:val="tx1"/>
            </w14:solidFill>
          </w14:textFill>
        </w:rPr>
        <w:t xml:space="preserve"> </w:t>
      </w:r>
    </w:p>
    <w:p>
      <w:pPr>
        <w:widowControl/>
        <w:jc w:val="left"/>
        <w:rPr>
          <w:rFonts w:ascii="Times New Roman" w:hAnsi="Times New Roman" w:eastAsia="黑体"/>
          <w:color w:val="000000" w:themeColor="text1"/>
          <w:kern w:val="0"/>
          <w:sz w:val="24"/>
          <w:lang w:bidi="ar"/>
          <w14:textFill>
            <w14:solidFill>
              <w14:schemeClr w14:val="tx1"/>
            </w14:solidFill>
          </w14:textFill>
        </w:rPr>
      </w:pPr>
    </w:p>
    <w:p>
      <w:pPr>
        <w:widowControl/>
        <w:jc w:val="center"/>
        <w:rPr>
          <w:rFonts w:ascii="Times New Roman" w:hAnsi="Times New Roman" w:eastAsia="黑体"/>
          <w:color w:val="000000" w:themeColor="text1"/>
          <w:kern w:val="0"/>
          <w:sz w:val="24"/>
          <w:lang w:bidi="ar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/>
          <w:color w:val="000000" w:themeColor="text1"/>
          <w:kern w:val="0"/>
          <w:sz w:val="24"/>
          <w:lang w:bidi="ar"/>
          <w14:textFill>
            <w14:solidFill>
              <w14:schemeClr w14:val="tx1"/>
            </w14:solidFill>
          </w14:textFill>
        </w:rPr>
        <w:t>资格审查强制性资格条件</w:t>
      </w:r>
      <w:r>
        <w:rPr>
          <w:rFonts w:ascii="Times New Roman" w:hAnsi="Times New Roman"/>
          <w:color w:val="000000" w:themeColor="text1"/>
          <w:kern w:val="0"/>
          <w:sz w:val="24"/>
          <w:lang w:bidi="ar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Times New Roman" w:hAnsi="Times New Roman" w:eastAsia="黑体"/>
          <w:color w:val="000000" w:themeColor="text1"/>
          <w:kern w:val="0"/>
          <w:sz w:val="24"/>
          <w:lang w:bidi="ar"/>
          <w14:textFill>
            <w14:solidFill>
              <w14:schemeClr w14:val="tx1"/>
            </w14:solidFill>
          </w14:textFill>
        </w:rPr>
        <w:t>信誉最低要求</w:t>
      </w:r>
      <w:r>
        <w:rPr>
          <w:rFonts w:ascii="Times New Roman" w:hAnsi="Times New Roman"/>
          <w:color w:val="000000" w:themeColor="text1"/>
          <w:kern w:val="0"/>
          <w:sz w:val="24"/>
          <w:lang w:bidi="ar"/>
          <w14:textFill>
            <w14:solidFill>
              <w14:schemeClr w14:val="tx1"/>
            </w14:solidFill>
          </w14:textFill>
        </w:rPr>
        <w:t>)</w:t>
      </w:r>
    </w:p>
    <w:tbl>
      <w:tblPr>
        <w:tblStyle w:val="6"/>
        <w:tblpPr w:leftFromText="180" w:rightFromText="180" w:vertAnchor="text" w:horzAnchor="page" w:tblpX="1477" w:tblpY="297"/>
        <w:tblOverlap w:val="never"/>
        <w:tblW w:w="92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92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最低信誉要求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0" w:hRule="atLeast"/>
        </w:trPr>
        <w:tc>
          <w:tcPr>
            <w:tcW w:w="9209" w:type="dxa"/>
            <w:vAlign w:val="center"/>
          </w:tcPr>
          <w:p>
            <w:pPr>
              <w:widowControl/>
              <w:spacing w:line="480" w:lineRule="exact"/>
              <w:rPr>
                <w:rFonts w:ascii="Times New Roman" w:hAnsi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提供相关证明材料，对于未提供或提供的材料不符合本文件要求的，磋商小组将拒绝其参加磋商。资格证明文件应真实可靠、不得伪造。响应文件正本中提交的资格证明文件为复印件的，应加盖公章。</w:t>
            </w:r>
          </w:p>
          <w:p>
            <w:pPr>
              <w:widowControl/>
              <w:spacing w:line="480" w:lineRule="exact"/>
              <w:rPr>
                <w:rFonts w:ascii="Times New Roman" w:hAnsi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.具有独立的法人资格，具备有效的营业执照</w:t>
            </w:r>
            <w:r>
              <w:rPr>
                <w:rFonts w:ascii="Times New Roman" w:hAnsi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widowControl/>
              <w:spacing w:line="480" w:lineRule="exact"/>
              <w:rPr>
                <w:rFonts w:ascii="Times New Roman" w:hAnsi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2.财务状况报告，依法缴纳税收和社会保障资金的相关材料；</w:t>
            </w:r>
          </w:p>
          <w:p>
            <w:pPr>
              <w:widowControl/>
              <w:spacing w:line="480" w:lineRule="exact"/>
              <w:rPr>
                <w:rFonts w:ascii="Times New Roman" w:hAnsi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ascii="Times New Roman" w:hAnsi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具备履行合同所必需的设备和专业技术能力的证明材料；</w:t>
            </w:r>
          </w:p>
          <w:p>
            <w:pPr>
              <w:widowControl/>
              <w:spacing w:line="480" w:lineRule="exact"/>
              <w:rPr>
                <w:rFonts w:ascii="Times New Roman" w:hAnsi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4.参加政府采购活动前3年内在经营活动中没有重大违法记录的书面声明；</w:t>
            </w:r>
          </w:p>
          <w:p>
            <w:pPr>
              <w:widowControl/>
              <w:spacing w:line="480" w:lineRule="exact"/>
              <w:rPr>
                <w:rFonts w:hint="eastAsia" w:ascii="Times New Roman" w:hAnsi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5.未被列入“信用中国”网站(www.creditchina. gov.cn)失信被执行人、重大税收违法案件当事人名单、政府采购严重违法失信行为记录名单的网页打印件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</w:tc>
      </w:tr>
    </w:tbl>
    <w:p>
      <w:pPr>
        <w:pStyle w:val="5"/>
        <w:ind w:firstLine="56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B20D1F"/>
    <w:rsid w:val="44B20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99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ourier New" w:hAnsi="Courier New" w:eastAsia="宋体" w:cs="Courier New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semiHidden/>
    <w:unhideWhenUsed/>
    <w:qFormat/>
    <w:uiPriority w:val="99"/>
    <w:pPr>
      <w:spacing w:before="120"/>
    </w:pPr>
    <w:rPr>
      <w:rFonts w:asciiTheme="majorHAnsi" w:hAnsiTheme="majorHAnsi" w:cstheme="majorBidi"/>
      <w:sz w:val="24"/>
    </w:rPr>
  </w:style>
  <w:style w:type="paragraph" w:styleId="3">
    <w:name w:val="Body Text Indent"/>
    <w:basedOn w:val="1"/>
    <w:next w:val="1"/>
    <w:qFormat/>
    <w:uiPriority w:val="99"/>
    <w:pPr>
      <w:autoSpaceDE w:val="0"/>
      <w:autoSpaceDN w:val="0"/>
      <w:adjustRightInd w:val="0"/>
      <w:spacing w:line="360" w:lineRule="auto"/>
      <w:ind w:right="246" w:firstLine="540"/>
    </w:pPr>
    <w:rPr>
      <w:rFonts w:ascii="Arial" w:hAnsi="Arial"/>
      <w:kern w:val="0"/>
      <w:sz w:val="28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Body Text First Indent 2"/>
    <w:basedOn w:val="3"/>
    <w:next w:val="1"/>
    <w:qFormat/>
    <w:uiPriority w:val="99"/>
    <w:pPr>
      <w:ind w:firstLine="420" w:firstLineChars="200"/>
    </w:pPr>
    <w:rPr>
      <w:rFonts w:ascii="Times New Roman" w:hAnsi="Times New Roman" w:cs="Times New Roman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2022-03-02T07:31:00Z</dcterms:created>
  <dc:creator>奔跑的五花肉</dc:creator>
  <cp:lastModifiedBy>奔跑的五花肉</cp:lastModifiedBy>
  <dcterms:modified xsi:type="dcterms:W3CDTF">2022-03-02T07:31:24Z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4247A3567B7C4458B67075239DBDEB32</vt:lpwstr>
  </property>
</Properties>
</file>