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auto"/>
        <w:jc w:val="left"/>
        <w:rPr>
          <w:rFonts w:ascii="Times New Roman" w:hAnsi="Times New Roman" w:eastAsia="黑体"/>
          <w:color w:val="000000" w:themeColor="text1"/>
          <w:kern w:val="0"/>
          <w:sz w:val="24"/>
          <w:lang w:bidi="ar"/>
          <w14:textFill>
            <w14:solidFill>
              <w14:schemeClr w14:val="tx1"/>
            </w14:solidFill>
          </w14:textFill>
        </w:rPr>
      </w:pPr>
      <w:r>
        <w:rPr>
          <w:rFonts w:hint="eastAsia" w:ascii="Times New Roman" w:hAnsi="Times New Roman" w:eastAsia="黑体"/>
          <w:color w:val="000000" w:themeColor="text1"/>
          <w:kern w:val="0"/>
          <w:sz w:val="24"/>
          <w:lang w:bidi="ar"/>
          <w14:textFill>
            <w14:solidFill>
              <w14:schemeClr w14:val="tx1"/>
            </w14:solidFill>
          </w14:textFill>
        </w:rPr>
        <w:t>附件</w:t>
      </w:r>
      <w:r>
        <w:rPr>
          <w:rFonts w:ascii="Times New Roman" w:hAnsi="Times New Roman" w:eastAsia="黑体"/>
          <w:color w:val="000000" w:themeColor="text1"/>
          <w:kern w:val="0"/>
          <w:sz w:val="24"/>
          <w:lang w:bidi="ar"/>
          <w14:textFill>
            <w14:solidFill>
              <w14:schemeClr w14:val="tx1"/>
            </w14:solidFill>
          </w14:textFill>
        </w:rPr>
        <w:t xml:space="preserve">2 </w:t>
      </w:r>
      <w:r>
        <w:rPr>
          <w:rFonts w:hint="eastAsia" w:ascii="Times New Roman" w:hAnsi="Times New Roman" w:eastAsia="黑体"/>
          <w:color w:val="000000" w:themeColor="text1"/>
          <w:kern w:val="0"/>
          <w:sz w:val="24"/>
          <w:lang w:bidi="ar"/>
          <w14:textFill>
            <w14:solidFill>
              <w14:schemeClr w14:val="tx1"/>
            </w14:solidFill>
          </w14:textFill>
        </w:rPr>
        <w:t>：系统功能要求及服务要求</w:t>
      </w:r>
    </w:p>
    <w:p>
      <w:pPr>
        <w:pStyle w:val="9"/>
        <w:spacing w:line="440" w:lineRule="exact"/>
        <w:ind w:firstLine="0" w:firstLineChars="0"/>
        <w:outlineLvl w:val="1"/>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（一）采购清单</w:t>
      </w:r>
    </w:p>
    <w:tbl>
      <w:tblPr>
        <w:tblStyle w:val="6"/>
        <w:tblW w:w="9255" w:type="dxa"/>
        <w:tblInd w:w="-5" w:type="dxa"/>
        <w:shd w:val="clear" w:color="auto" w:fill="CCE8CF" w:themeFill="background1"/>
        <w:tblLayout w:type="autofit"/>
        <w:tblCellMar>
          <w:top w:w="0" w:type="dxa"/>
          <w:left w:w="108" w:type="dxa"/>
          <w:bottom w:w="0" w:type="dxa"/>
          <w:right w:w="108" w:type="dxa"/>
        </w:tblCellMar>
      </w:tblPr>
      <w:tblGrid>
        <w:gridCol w:w="904"/>
        <w:gridCol w:w="3579"/>
        <w:gridCol w:w="943"/>
        <w:gridCol w:w="1187"/>
        <w:gridCol w:w="2642"/>
      </w:tblGrid>
      <w:tr>
        <w:tblPrEx>
          <w:shd w:val="clear" w:color="auto" w:fill="CCE8CF" w:themeFill="background1"/>
          <w:tblCellMar>
            <w:top w:w="0" w:type="dxa"/>
            <w:left w:w="108" w:type="dxa"/>
            <w:bottom w:w="0" w:type="dxa"/>
            <w:right w:w="108" w:type="dxa"/>
          </w:tblCellMar>
        </w:tblPrEx>
        <w:trPr>
          <w:trHeight w:val="34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noWrap/>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序号</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产品/服务</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数量</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单位</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备注</w:t>
            </w:r>
          </w:p>
        </w:tc>
      </w:tr>
      <w:tr>
        <w:tblPrEx>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OA办公系统</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套</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核心产品</w:t>
            </w: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2</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在线文档预览与编辑</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套</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3</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虚拟化服务器系统</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4</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万兆交换机</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5</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上网行为管理</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2</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6</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出口下一代防火墙</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2</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7</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数据中心下一代防火墙</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2</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8</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终端检测与响应</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套</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9</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安全感知管理平台一体机</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10</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日志审计</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11</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数据库审计</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12</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漏洞扫描系统</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13</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堡垒机</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台</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14</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一体化智能机柜UPS扩容</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项</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374"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15</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数据中心交流电源浪涌保护</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项</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r>
        <w:tblPrEx>
          <w:shd w:val="clear" w:color="auto" w:fill="CCE8CF" w:themeFill="background1"/>
          <w:tblCellMar>
            <w:top w:w="0" w:type="dxa"/>
            <w:left w:w="108" w:type="dxa"/>
            <w:bottom w:w="0" w:type="dxa"/>
            <w:right w:w="108" w:type="dxa"/>
          </w:tblCellMar>
        </w:tblPrEx>
        <w:trPr>
          <w:trHeight w:val="415" w:hRule="atLeast"/>
        </w:trPr>
        <w:tc>
          <w:tcPr>
            <w:tcW w:w="904"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16</w:t>
            </w:r>
          </w:p>
        </w:tc>
        <w:tc>
          <w:tcPr>
            <w:tcW w:w="3579"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集成与配套</w:t>
            </w:r>
          </w:p>
        </w:tc>
        <w:tc>
          <w:tcPr>
            <w:tcW w:w="943"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1187"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项</w:t>
            </w:r>
          </w:p>
        </w:tc>
        <w:tc>
          <w:tcPr>
            <w:tcW w:w="2642" w:type="dxa"/>
            <w:tcBorders>
              <w:top w:val="single" w:color="auto" w:sz="4" w:space="0"/>
              <w:left w:val="single" w:color="auto" w:sz="4" w:space="0"/>
              <w:bottom w:val="single" w:color="auto" w:sz="4" w:space="0"/>
              <w:right w:val="single" w:color="auto" w:sz="4" w:space="0"/>
            </w:tcBorders>
            <w:shd w:val="clear" w:color="auto" w:fill="CCE8CF" w:themeFill="background1"/>
            <w:vAlign w:val="center"/>
          </w:tcPr>
          <w:p>
            <w:pPr>
              <w:jc w:val="center"/>
              <w:rPr>
                <w:rFonts w:ascii="Times New Roman" w:hAnsi="Times New Roman"/>
                <w:color w:val="000000" w:themeColor="text1"/>
                <w:kern w:val="0"/>
                <w:szCs w:val="21"/>
                <w:lang w:bidi="ar"/>
                <w14:textFill>
                  <w14:solidFill>
                    <w14:schemeClr w14:val="tx1"/>
                  </w14:solidFill>
                </w14:textFill>
              </w:rPr>
            </w:pPr>
          </w:p>
        </w:tc>
      </w:tr>
    </w:tbl>
    <w:p>
      <w:pPr>
        <w:pStyle w:val="9"/>
        <w:spacing w:line="440" w:lineRule="exact"/>
        <w:ind w:firstLine="0" w:firstLineChars="0"/>
        <w:outlineLvl w:val="1"/>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（二）技术、服务要求</w:t>
      </w:r>
    </w:p>
    <w:p>
      <w:pPr>
        <w:spacing w:line="360" w:lineRule="auto"/>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 xml:space="preserve">1.下表中标注★项不响应或出现负偏离视为无效投标处理。 </w:t>
      </w:r>
    </w:p>
    <w:p>
      <w:pPr>
        <w:spacing w:line="360" w:lineRule="auto"/>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2.下表中标注“△”号的条款，作为“评审因素及评分标准”中的重要评分内容</w:t>
      </w:r>
    </w:p>
    <w:tbl>
      <w:tblPr>
        <w:tblStyle w:val="7"/>
        <w:tblW w:w="9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10"/>
        <w:gridCol w:w="6956"/>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编号</w:t>
            </w:r>
          </w:p>
        </w:tc>
        <w:tc>
          <w:tcPr>
            <w:tcW w:w="720" w:type="dxa"/>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项  目</w:t>
            </w:r>
          </w:p>
        </w:tc>
        <w:tc>
          <w:tcPr>
            <w:tcW w:w="710" w:type="dxa"/>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模块</w:t>
            </w:r>
          </w:p>
        </w:tc>
        <w:tc>
          <w:tcPr>
            <w:tcW w:w="6956" w:type="dxa"/>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技术</w:t>
            </w:r>
            <w:r>
              <w:rPr>
                <w:rFonts w:hint="eastAsia" w:ascii="Times New Roman" w:hAnsi="Times New Roman"/>
                <w:color w:val="000000" w:themeColor="text1"/>
                <w:kern w:val="0"/>
                <w:szCs w:val="21"/>
                <w:lang w:bidi="ar"/>
                <w14:textFill>
                  <w14:solidFill>
                    <w14:schemeClr w14:val="tx1"/>
                  </w14:solidFill>
                </w14:textFill>
              </w:rPr>
              <w:t>参数与性能</w:t>
            </w:r>
            <w:r>
              <w:rPr>
                <w:rFonts w:ascii="Times New Roman" w:hAnsi="Times New Roman"/>
                <w:color w:val="000000" w:themeColor="text1"/>
                <w:kern w:val="0"/>
                <w:szCs w:val="21"/>
                <w:lang w:bidi="ar"/>
                <w14:textFill>
                  <w14:solidFill>
                    <w14:schemeClr w14:val="tx1"/>
                  </w14:solidFill>
                </w14:textFill>
              </w:rPr>
              <w:t>要求</w:t>
            </w:r>
          </w:p>
        </w:tc>
        <w:tc>
          <w:tcPr>
            <w:tcW w:w="567" w:type="dxa"/>
            <w:vAlign w:val="center"/>
          </w:tcPr>
          <w:p>
            <w:pPr>
              <w:pStyle w:val="10"/>
              <w:spacing w:before="136" w:line="360" w:lineRule="exact"/>
              <w:ind w:left="13"/>
              <w:rPr>
                <w:rFonts w:ascii="Times New Roman" w:hAnsi="Times New Roman" w:cs="Courier New"/>
                <w:color w:val="000000" w:themeColor="text1"/>
                <w:kern w:val="0"/>
                <w:sz w:val="21"/>
                <w:szCs w:val="21"/>
                <w:lang w:val="en-US" w:bidi="ar"/>
                <w14:textFill>
                  <w14:solidFill>
                    <w14:schemeClr w14:val="tx1"/>
                  </w14:solidFill>
                </w14:textFill>
              </w:rPr>
            </w:pPr>
            <w:r>
              <w:rPr>
                <w:rFonts w:ascii="Times New Roman" w:hAnsi="Times New Roman" w:cs="Courier New"/>
                <w:color w:val="000000" w:themeColor="text1"/>
                <w:kern w:val="0"/>
                <w:sz w:val="21"/>
                <w:szCs w:val="21"/>
                <w:lang w:val="en-US" w:bidi="ar"/>
                <w14:textFill>
                  <w14:solidFill>
                    <w14:schemeClr w14:val="tx1"/>
                  </w14:solidFill>
                </w14:textFill>
              </w:rPr>
              <w:t>评审点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restart"/>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1</w:t>
            </w:r>
          </w:p>
        </w:tc>
        <w:tc>
          <w:tcPr>
            <w:tcW w:w="720" w:type="dxa"/>
            <w:vMerge w:val="restart"/>
            <w:vAlign w:val="center"/>
          </w:tcPr>
          <w:p>
            <w:pPr>
              <w:widowControl/>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OA办公系统</w:t>
            </w:r>
          </w:p>
        </w:tc>
        <w:tc>
          <w:tcPr>
            <w:tcW w:w="710" w:type="dxa"/>
            <w:vMerge w:val="restart"/>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技术需求</w:t>
            </w:r>
          </w:p>
        </w:tc>
        <w:tc>
          <w:tcPr>
            <w:tcW w:w="6956" w:type="dxa"/>
            <w:vAlign w:val="center"/>
          </w:tcPr>
          <w:p>
            <w:pPr>
              <w:widowControl/>
              <w:numPr>
                <w:ilvl w:val="0"/>
                <w:numId w:val="1"/>
              </w:numPr>
              <w:ind w:firstLine="0"/>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系统平台架构</w:t>
            </w:r>
          </w:p>
          <w:p>
            <w:pPr>
              <w:pStyle w:val="11"/>
              <w:widowControl/>
              <w:numPr>
                <w:ilvl w:val="0"/>
                <w:numId w:val="2"/>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OA管理平台需支持主流的硬件平台、操作系统、应用服务器、数据库。</w:t>
            </w:r>
          </w:p>
          <w:p>
            <w:pPr>
              <w:pStyle w:val="11"/>
              <w:widowControl/>
              <w:numPr>
                <w:ilvl w:val="0"/>
                <w:numId w:val="2"/>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平台整体采用J2EE技术路线，分层设计；前后端分离，应用之间松耦合；前端单页化，后端微服务化、组件化、接口化。能够支撑大型集团多级组织的统一部署、统一管理和应用的统一分发；通过成熟平台+丰富应用的方式，工厂模式，迭代开发；应用数据库空间解耦合，缓存框架提高性能。</w:t>
            </w:r>
          </w:p>
          <w:p>
            <w:pPr>
              <w:pStyle w:val="11"/>
              <w:widowControl/>
              <w:numPr>
                <w:ilvl w:val="0"/>
                <w:numId w:val="2"/>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OA平台的建设应充分考虑其它应用系统建设的接口与集成，应遵循主流的工业标准与规范（如Web Services服务架构等），构建一个开放的、灵活的系统平台。</w:t>
            </w:r>
          </w:p>
        </w:tc>
        <w:tc>
          <w:tcPr>
            <w:tcW w:w="567" w:type="dxa"/>
            <w:vAlign w:val="center"/>
          </w:tcPr>
          <w:p>
            <w:pPr>
              <w:spacing w:line="360" w:lineRule="exact"/>
              <w:jc w:val="center"/>
              <w:rPr>
                <w:rFonts w:ascii="Times New Roman" w:hAnsi="Times New Roman"/>
                <w:color w:val="000000" w:themeColor="text1"/>
                <w:kern w:val="0"/>
                <w:szCs w:val="21"/>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p>
        </w:tc>
        <w:tc>
          <w:tcPr>
            <w:tcW w:w="720" w:type="dxa"/>
            <w:vMerge w:val="continue"/>
            <w:vAlign w:val="center"/>
          </w:tcPr>
          <w:p>
            <w:pPr>
              <w:widowControl/>
              <w:textAlignment w:val="center"/>
              <w:rPr>
                <w:rFonts w:ascii="Times New Roman" w:hAnsi="Times New Roman"/>
                <w:color w:val="000000" w:themeColor="text1"/>
                <w:kern w:val="0"/>
                <w:szCs w:val="21"/>
                <w:lang w:bidi="ar"/>
                <w14:textFill>
                  <w14:solidFill>
                    <w14:schemeClr w14:val="tx1"/>
                  </w14:solidFill>
                </w14:textFill>
              </w:rPr>
            </w:pPr>
          </w:p>
        </w:tc>
        <w:tc>
          <w:tcPr>
            <w:tcW w:w="710" w:type="dxa"/>
            <w:vMerge w:val="continue"/>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p>
        </w:tc>
        <w:tc>
          <w:tcPr>
            <w:tcW w:w="6956" w:type="dxa"/>
            <w:vAlign w:val="center"/>
          </w:tcPr>
          <w:p>
            <w:pPr>
              <w:widowControl/>
              <w:numPr>
                <w:ilvl w:val="0"/>
                <w:numId w:val="1"/>
              </w:numPr>
              <w:ind w:firstLine="0"/>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系统平台软件要求</w:t>
            </w:r>
          </w:p>
          <w:p>
            <w:pPr>
              <w:pStyle w:val="11"/>
              <w:widowControl/>
              <w:numPr>
                <w:ilvl w:val="0"/>
                <w:numId w:val="3"/>
              </w:numPr>
              <w:tabs>
                <w:tab w:val="clear" w:pos="146"/>
              </w:tabs>
              <w:snapToGrid/>
              <w:spacing w:before="25" w:after="25" w:line="240" w:lineRule="auto"/>
              <w:jc w:val="left"/>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系统是通用的、成熟的和具有成功案例的协同管理平台。</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系统应基于大型企业级应用、支持大并发量用户访问能力。</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系统平台内部各模块内在关联。</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跨多平台：支持当前业界绝大多数操作系统平台如：Windows、Unix等。</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系统必须采用B/S架构，在集团总部机房部署服务器和应用系统，完全浏览器界面，客户端零安装，客户端通过浏览器即可方便使用，尽可能降低系统的维护和使用成本，便于系统今后的推广应用。</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系统架构协同性好，可对接其他外部系统；系统需具备高性能，速度快，高效率等特点，并提高查询与数据统计的功能。系统具备可开发拓展性，减少后期开发、维护、拓展的难度。平台功能架构采用前中后三台结构，从而实现，平台配置层、应用实现层与门户展现层的分离。</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存储数据库必须为关系型数据库，必须支持以下两种关系型数据库：oracle 10g及以上版本或MS SQL Server 2003以上</w:t>
            </w:r>
            <w:r>
              <w:rPr>
                <w:rFonts w:ascii="Times New Roman" w:hAnsi="Times New Roman"/>
                <w:color w:val="000000" w:themeColor="text1"/>
                <w:spacing w:val="0"/>
                <w:sz w:val="21"/>
                <w:szCs w:val="21"/>
                <w:lang w:bidi="ar"/>
                <w14:textFill>
                  <w14:solidFill>
                    <w14:schemeClr w14:val="tx1"/>
                  </w14:solidFill>
                </w14:textFill>
              </w:rPr>
              <w:t>版本</w:t>
            </w:r>
            <w:r>
              <w:rPr>
                <w:rFonts w:hint="eastAsia" w:ascii="Times New Roman" w:hAnsi="Times New Roman"/>
                <w:color w:val="000000" w:themeColor="text1"/>
                <w:spacing w:val="0"/>
                <w:sz w:val="21"/>
                <w:szCs w:val="21"/>
                <w:lang w:bidi="ar"/>
                <w14:textFill>
                  <w14:solidFill>
                    <w14:schemeClr w14:val="tx1"/>
                  </w14:solidFill>
                </w14:textFill>
              </w:rPr>
              <w:t>。具有关系型数据库的集成能力：支持对关系型数据库的集成，可以与其他系统互换信息，可以提供决策数据参考，保证系统的外拓或兼容。</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系统可运行于各种不同的应用服务,如Tomcat/Resin/WebSphere等。</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跨系统平台接口数据传递采用Web service实现。</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采用标准、开放和高效的接口与协议。</w:t>
            </w:r>
          </w:p>
          <w:p>
            <w:pPr>
              <w:pStyle w:val="11"/>
              <w:widowControl/>
              <w:numPr>
                <w:ilvl w:val="0"/>
                <w:numId w:val="3"/>
              </w:numPr>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多级安全机制：系统可以采用多级安全机制如服务器安全、数据库安全，每级安全要有严格的权限控制保障，必要时，可提供CA认证、验证码、动态密码、key等多种论证组合方式。</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p>
        </w:tc>
        <w:tc>
          <w:tcPr>
            <w:tcW w:w="720" w:type="dxa"/>
            <w:vMerge w:val="continue"/>
            <w:vAlign w:val="center"/>
          </w:tcPr>
          <w:p>
            <w:pPr>
              <w:widowControl/>
              <w:textAlignment w:val="center"/>
              <w:rPr>
                <w:rFonts w:ascii="Times New Roman" w:hAnsi="Times New Roman"/>
                <w:color w:val="000000" w:themeColor="text1"/>
                <w:kern w:val="0"/>
                <w:szCs w:val="21"/>
                <w:lang w:bidi="ar"/>
                <w14:textFill>
                  <w14:solidFill>
                    <w14:schemeClr w14:val="tx1"/>
                  </w14:solidFill>
                </w14:textFill>
              </w:rPr>
            </w:pPr>
          </w:p>
        </w:tc>
        <w:tc>
          <w:tcPr>
            <w:tcW w:w="710" w:type="dxa"/>
            <w:vMerge w:val="continue"/>
            <w:vAlign w:val="center"/>
          </w:tcPr>
          <w:p>
            <w:pPr>
              <w:widowControl/>
              <w:jc w:val="center"/>
              <w:textAlignment w:val="center"/>
              <w:rPr>
                <w:rFonts w:ascii="Times New Roman" w:hAnsi="Times New Roman"/>
                <w:color w:val="000000" w:themeColor="text1"/>
                <w:kern w:val="0"/>
                <w:szCs w:val="21"/>
                <w:lang w:bidi="ar"/>
                <w14:textFill>
                  <w14:solidFill>
                    <w14:schemeClr w14:val="tx1"/>
                  </w14:solidFill>
                </w14:textFill>
              </w:rPr>
            </w:pPr>
          </w:p>
        </w:tc>
        <w:tc>
          <w:tcPr>
            <w:tcW w:w="6956" w:type="dxa"/>
            <w:vAlign w:val="center"/>
          </w:tcPr>
          <w:p>
            <w:pPr>
              <w:widowControl/>
              <w:numPr>
                <w:ilvl w:val="0"/>
                <w:numId w:val="1"/>
              </w:numPr>
              <w:ind w:firstLine="0"/>
              <w:textAlignment w:val="center"/>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系统专有技术需求</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（1）系统的配置方面，应能根据实际的需要可视化自定义任意的业务处理流程，用这些可自定义的流程来解决所有的审批和办公业务。</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（2）系统支持流程的导入导出功能，提高系统中应用的复制性和共用性，方便不同环境系统应用的复制和迁移。</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（3）易于二次开发扩展：系统提供二次开发的接口，可以方便用户将办公系统或其他需求扩展到该系统平台上。要求提供详细开发指导文档，并可为客户提供二次开发服务。</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（4）要求采用协同管理平台架构软件技术，保证核心的平台软件能够与具体的业务无关，避免定制开发带来的周期长、系统不稳定、维护难等问题。</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（5）要求支持AD域集成，以方便日后对资源的统一管理。</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6）系统必须提供目录结构式的组织架构管理功能，以便应对集团多组织、多层级、跨地域的管理。同时，为了满足扁平化管理的需求，必须支持在集团组织架构的基础上构建虚拟团队功能以及多维度组织架构功能，能实现矩阵式管理。并且工作流平台必须提供对这种多维度组织架构模式的支持，能够按照这种结构模式进行流转处理。</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（7）应具有统一的用户及权限管理机制，能够很方便地对系统进行全面的权限管理，避免信息的冗余。</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（8）提供灵活的门户自定义定制功能，根据使用者的角色（身份和权限）的不同系统呈现不同的菜单或功能，用户本人可自定义个人门户界面风格、栏目存放位置及显示方式等。</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w:t>
            </w:r>
            <w:r>
              <w:rPr>
                <w:rFonts w:ascii="Times New Roman" w:hAnsi="Times New Roman"/>
                <w:color w:val="000000" w:themeColor="text1"/>
                <w:spacing w:val="0"/>
                <w:sz w:val="21"/>
                <w:szCs w:val="21"/>
                <w:lang w:bidi="ar"/>
                <w14:textFill>
                  <w14:solidFill>
                    <w14:schemeClr w14:val="tx1"/>
                  </w14:solidFill>
                </w14:textFill>
              </w:rPr>
              <w:t>9</w:t>
            </w:r>
            <w:r>
              <w:rPr>
                <w:rFonts w:hint="eastAsia" w:ascii="Times New Roman" w:hAnsi="Times New Roman"/>
                <w:color w:val="000000" w:themeColor="text1"/>
                <w:spacing w:val="0"/>
                <w:sz w:val="21"/>
                <w:szCs w:val="21"/>
                <w:lang w:bidi="ar"/>
                <w14:textFill>
                  <w14:solidFill>
                    <w14:schemeClr w14:val="tx1"/>
                  </w14:solidFill>
                </w14:textFill>
              </w:rPr>
              <w:t>）支持系统集成接口的开放，对企业内部信息系统管理人员提供二次开发培训指导，使企业人员可自行对系统功能进行定制开发和升级维护。</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w:t>
            </w:r>
            <w:r>
              <w:rPr>
                <w:rFonts w:ascii="Times New Roman" w:hAnsi="Times New Roman"/>
                <w:color w:val="000000" w:themeColor="text1"/>
                <w:spacing w:val="0"/>
                <w:sz w:val="21"/>
                <w:szCs w:val="21"/>
                <w:lang w:bidi="ar"/>
                <w14:textFill>
                  <w14:solidFill>
                    <w14:schemeClr w14:val="tx1"/>
                  </w14:solidFill>
                </w14:textFill>
              </w:rPr>
              <w:t>10</w:t>
            </w:r>
            <w:r>
              <w:rPr>
                <w:rFonts w:hint="eastAsia" w:ascii="Times New Roman" w:hAnsi="Times New Roman"/>
                <w:color w:val="000000" w:themeColor="text1"/>
                <w:spacing w:val="0"/>
                <w:sz w:val="21"/>
                <w:szCs w:val="21"/>
                <w:lang w:bidi="ar"/>
                <w14:textFill>
                  <w14:solidFill>
                    <w14:schemeClr w14:val="tx1"/>
                  </w14:solidFill>
                </w14:textFill>
              </w:rPr>
              <w:t>）支持分级分权管理方式。</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w:t>
            </w:r>
            <w:r>
              <w:rPr>
                <w:rFonts w:ascii="Times New Roman" w:hAnsi="Times New Roman"/>
                <w:color w:val="000000" w:themeColor="text1"/>
                <w:spacing w:val="0"/>
                <w:sz w:val="21"/>
                <w:szCs w:val="21"/>
                <w:lang w:bidi="ar"/>
                <w14:textFill>
                  <w14:solidFill>
                    <w14:schemeClr w14:val="tx1"/>
                  </w14:solidFill>
                </w14:textFill>
              </w:rPr>
              <w:t>1</w:t>
            </w:r>
            <w:r>
              <w:rPr>
                <w:rFonts w:hint="eastAsia" w:ascii="Times New Roman" w:hAnsi="Times New Roman"/>
                <w:color w:val="000000" w:themeColor="text1"/>
                <w:spacing w:val="0"/>
                <w:sz w:val="21"/>
                <w:szCs w:val="21"/>
                <w:lang w:bidi="ar"/>
                <w14:textFill>
                  <w14:solidFill>
                    <w14:schemeClr w14:val="tx1"/>
                  </w14:solidFill>
                </w14:textFill>
              </w:rPr>
              <w:t>）报表工具：包含系统运行过程中的业务流报表、流程监控及效率分析类报表的生成、分析工具。</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w:t>
            </w:r>
            <w:r>
              <w:rPr>
                <w:rFonts w:ascii="Times New Roman" w:hAnsi="Times New Roman"/>
                <w:color w:val="000000" w:themeColor="text1"/>
                <w:spacing w:val="0"/>
                <w:sz w:val="21"/>
                <w:szCs w:val="21"/>
                <w:lang w:bidi="ar"/>
                <w14:textFill>
                  <w14:solidFill>
                    <w14:schemeClr w14:val="tx1"/>
                  </w14:solidFill>
                </w14:textFill>
              </w:rPr>
              <w:t>2</w:t>
            </w:r>
            <w:r>
              <w:rPr>
                <w:rFonts w:hint="eastAsia" w:ascii="Times New Roman" w:hAnsi="Times New Roman"/>
                <w:color w:val="000000" w:themeColor="text1"/>
                <w:spacing w:val="0"/>
                <w:sz w:val="21"/>
                <w:szCs w:val="21"/>
                <w:lang w:bidi="ar"/>
                <w14:textFill>
                  <w14:solidFill>
                    <w14:schemeClr w14:val="tx1"/>
                  </w14:solidFill>
                </w14:textFill>
              </w:rPr>
              <w:t>）协同管理平台系统内消息通知方式：应支持协同管理平台内部消息及邮件、手机短信。</w:t>
            </w:r>
          </w:p>
          <w:p>
            <w:pPr>
              <w:pStyle w:val="11"/>
              <w:widowControl/>
              <w:tabs>
                <w:tab w:val="clear" w:pos="146"/>
              </w:tabs>
              <w:snapToGrid/>
              <w:spacing w:before="25" w:after="25" w:line="240" w:lineRule="auto"/>
              <w:jc w:val="both"/>
              <w:textAlignment w:val="center"/>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w:t>
            </w:r>
            <w:r>
              <w:rPr>
                <w:rFonts w:ascii="Times New Roman" w:hAnsi="Times New Roman"/>
                <w:color w:val="000000" w:themeColor="text1"/>
                <w:spacing w:val="0"/>
                <w:sz w:val="21"/>
                <w:szCs w:val="21"/>
                <w:lang w:bidi="ar"/>
                <w14:textFill>
                  <w14:solidFill>
                    <w14:schemeClr w14:val="tx1"/>
                  </w14:solidFill>
                </w14:textFill>
              </w:rPr>
              <w:t>3</w:t>
            </w:r>
            <w:r>
              <w:rPr>
                <w:rFonts w:hint="eastAsia" w:ascii="Times New Roman" w:hAnsi="Times New Roman"/>
                <w:color w:val="000000" w:themeColor="text1"/>
                <w:spacing w:val="0"/>
                <w:sz w:val="21"/>
                <w:szCs w:val="21"/>
                <w:lang w:bidi="ar"/>
                <w14:textFill>
                  <w14:solidFill>
                    <w14:schemeClr w14:val="tx1"/>
                  </w14:solidFill>
                </w14:textFill>
              </w:rPr>
              <w:t>）提供系统日志管理功能，系统日志管理包括日志监控、日志审计和日志统计，系统中发生的所有对数据产生变更的操作和系统本身的运行检测情况都要求记录在日志平台中，便于统计分析。</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其他技术要求</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（1）系统必须支持通过SSL、VPN安全要求的WEB访问；</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（2）系统应提供符合中文使用习惯的操作界面，所有与用户相关的信息都必须用中文显示。</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（3）系统的客户端程序应保证在Windows 各版本（Windows 2000，Windows 2003，Windows XP（SP2，SP3），Vista，win7，win8，win10 等）环境可以正常使用，浏览器支持IE（8.0及以上）、CHROME、IOS等常用浏览器。</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统一门户</w:t>
            </w:r>
          </w:p>
        </w:tc>
        <w:tc>
          <w:tcPr>
            <w:tcW w:w="6956" w:type="dxa"/>
            <w:vAlign w:val="center"/>
          </w:tcPr>
          <w:p>
            <w:pPr>
              <w:numPr>
                <w:ilvl w:val="0"/>
                <w:numId w:val="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统一门户是给集团员工提供访问集团信息和申请业务的统一入口，实现信息数据的结构化和企业资源的充分共享，最大化的减少信息孤岛的存在。搭建一套集中式的信息推送平台，让不同的部门、不同的岗位、不同的人员都可快速的有针对性的获取与工作有关的信息。</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支持门户多级展示，权限控制须细化到门户内容，同一条内容可以查看和编辑。提供截图予以证明。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门户界面管理</w:t>
            </w:r>
          </w:p>
          <w:p>
            <w:pPr>
              <w:pStyle w:val="11"/>
              <w:numPr>
                <w:ilvl w:val="0"/>
                <w:numId w:val="5"/>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集团门户：集中展现各业务系统，实现统一的单点登陆和统一的身份验证。快速传递公司内各方面的信息动向，让公司内每位员工都可在权限范围内了解到公司的动态。</w:t>
            </w:r>
          </w:p>
          <w:p>
            <w:pPr>
              <w:pStyle w:val="11"/>
              <w:numPr>
                <w:ilvl w:val="0"/>
                <w:numId w:val="5"/>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领导门户：为管理层提供业务数据分析，在线快速全面了解企业运营数据。把领导关心的数据分类聚合并推送到领导工作平台。把需要领导审批的流程、催办、督办的流程、交办事宜处理情况自动汇总到领导门户。</w:t>
            </w:r>
          </w:p>
          <w:p>
            <w:pPr>
              <w:pStyle w:val="11"/>
              <w:numPr>
                <w:ilvl w:val="0"/>
                <w:numId w:val="5"/>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部门门户：可根据不同职能部门和业务部门的工作内容性质不同，从而为各个部门设计出有针对性的部门内信息门户。</w:t>
            </w:r>
          </w:p>
          <w:p>
            <w:pPr>
              <w:pStyle w:val="11"/>
              <w:numPr>
                <w:ilvl w:val="0"/>
                <w:numId w:val="5"/>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个人门户：为集团员工提供集中式的待办工作、计划日程处理、知识订阅等个人工作平台。将所有分散的工作事项集中展现，推送给员工，有助于员工实现高效的个人工作管理。</w:t>
            </w:r>
          </w:p>
          <w:p>
            <w:pPr>
              <w:pStyle w:val="11"/>
              <w:numPr>
                <w:ilvl w:val="0"/>
                <w:numId w:val="5"/>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移动门户：为集团员工随时随地查阅与处理个人待办、个人日程，查阅企业通讯录、新闻公告、业绩报表以及各自关注的商业智能数据图表和指标等等，支撑移动办公和实时决策。</w:t>
            </w:r>
          </w:p>
          <w:p>
            <w:pPr>
              <w:pStyle w:val="11"/>
              <w:numPr>
                <w:ilvl w:val="0"/>
                <w:numId w:val="5"/>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下属企业门户：为二级、三级下属企业构建个性化下属企业门户，为下属企业建设提供电子化手段，实现下属企业信息共享，流程管控，移动办公等等目标，成为下属二级企业与三级企业沟通协调办公的重要渠道，下属企业门户将支持下属企业所有下属员工。</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门户标准管理</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统一的界面标准：门户软件应提供统一的系统管理工具，用以管理企业信息门户系统相关的软件组件。系统应内置主要的开发工具以及开发与部署环境，系统完整性将有助于系统管理与技术支持。</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统一的权限标准：每个门户都有独立的权限，不同的门户可以设置不同的查看范围，并且门户中的不同的内容展现也可以设置共享权限由不同的权限的人员进行查看，同一个内容展现中不同组织角色的人员看到的内容也是不一样的。</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统一的单点登入标准：统一认证授权是各类应用实现单点登录的核心,同时也是为集团信息化提供应用级安全保障的基础应用。单点登入要求支持LDAP、PKI\CA、指纹、附加码、短信、Ukey等多种方式。统一认证授权平台需要提供统一用户信息、统一身份认证、分级授权管理、统一系统日志等基础服务。</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门户分级分权管理：系统界面上，每个分子公司可以有自己独立的界面：登录界面和登录后的使用界面；门户内容上：集团总部除了总部的门户外，还能够透视到下属公司的门户；下属公司：除了自己本部的门户外，希望能够获取到集团下达的信息资讯。</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支持无代码个性化定义标准：门户平台系统可以提供管理部门基于界面的个性化，不同的组织有不同的主界面，可定义个性化内容页面风格、样式、内容及使用方式，而且还可以定义自己的风格模板；基于工作的个性化，不同人员有不同的工作任务、信息、日程、事务；基于规则的个性化，系统能够动态地制定角色权限和商务规则，以实现界面、内容、业务流程的个性化。</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基于JSR168或JSR286B标准：门户管理平台支持丰富的数据类型展示，既可以展示平台本身的数据如：流程、文档、计划、日程等，也可以展示平台之外的数据。</w:t>
            </w:r>
          </w:p>
          <w:p>
            <w:pPr>
              <w:pStyle w:val="11"/>
              <w:numPr>
                <w:ilvl w:val="0"/>
                <w:numId w:val="6"/>
              </w:numPr>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门户平台支持元素的扩展，只要是基于JSR168和JSR286B标准开发都可以放到门户平台中。</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7"/>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流程化的五个核心要素</w:t>
            </w:r>
          </w:p>
          <w:p>
            <w:pPr>
              <w:pStyle w:val="11"/>
              <w:numPr>
                <w:ilvl w:val="0"/>
                <w:numId w:val="8"/>
              </w:numPr>
              <w:tabs>
                <w:tab w:val="clear" w:pos="146"/>
              </w:tabs>
              <w:snapToGrid/>
              <w:spacing w:before="25" w:after="25" w:line="240" w:lineRule="auto"/>
              <w:ind w:firstLine="400"/>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流程图形化、可视化展示：流程的流转过程可以用图形化的方式展现；所有的流程可以通过流程面板分类、分级地展示。</w:t>
            </w:r>
          </w:p>
          <w:p>
            <w:pPr>
              <w:pStyle w:val="11"/>
              <w:numPr>
                <w:ilvl w:val="0"/>
                <w:numId w:val="8"/>
              </w:numPr>
              <w:tabs>
                <w:tab w:val="clear" w:pos="146"/>
              </w:tabs>
              <w:snapToGrid/>
              <w:spacing w:before="25" w:after="25" w:line="240" w:lineRule="auto"/>
              <w:ind w:firstLine="400"/>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流程相关数据决策支撑体系：流程在流转审核过程中，提供与流程相关的数据（如相关流程，相关文件资料、相关事务等）的支撑，可以辅助审批人员判断该项事务的合理性。</w:t>
            </w:r>
          </w:p>
          <w:p>
            <w:pPr>
              <w:pStyle w:val="11"/>
              <w:numPr>
                <w:ilvl w:val="0"/>
                <w:numId w:val="8"/>
              </w:numPr>
              <w:tabs>
                <w:tab w:val="clear" w:pos="146"/>
              </w:tabs>
              <w:snapToGrid/>
              <w:spacing w:before="25" w:after="25" w:line="240" w:lineRule="auto"/>
              <w:ind w:firstLine="400"/>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流程的统计与效率分析：能实现流程节点的催办和督办，实现流程效率分析，协助领导的审批与决策。</w:t>
            </w:r>
          </w:p>
          <w:p>
            <w:pPr>
              <w:pStyle w:val="11"/>
              <w:numPr>
                <w:ilvl w:val="0"/>
                <w:numId w:val="8"/>
              </w:numPr>
              <w:tabs>
                <w:tab w:val="clear" w:pos="146"/>
              </w:tabs>
              <w:snapToGrid/>
              <w:spacing w:before="25" w:after="25" w:line="240" w:lineRule="auto"/>
              <w:ind w:firstLine="400"/>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管理表格电子化：管理表格是企业数据记录的载体，也是企业流程电子化体系的基础，支持对表格的管理与设计。</w:t>
            </w:r>
          </w:p>
          <w:p>
            <w:pPr>
              <w:pStyle w:val="11"/>
              <w:numPr>
                <w:ilvl w:val="0"/>
                <w:numId w:val="8"/>
              </w:numPr>
              <w:tabs>
                <w:tab w:val="clear" w:pos="146"/>
              </w:tabs>
              <w:snapToGrid/>
              <w:spacing w:before="25" w:after="25" w:line="240" w:lineRule="auto"/>
              <w:ind w:firstLine="400"/>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流程生成智能化：可通过EXCEL导入的形式，快速生成流程路径，并可进行自动测试。</w:t>
            </w:r>
          </w:p>
          <w:p>
            <w:pPr>
              <w:pStyle w:val="11"/>
              <w:numPr>
                <w:ilvl w:val="0"/>
                <w:numId w:val="8"/>
              </w:numPr>
              <w:tabs>
                <w:tab w:val="clear" w:pos="146"/>
              </w:tabs>
              <w:snapToGrid/>
              <w:spacing w:before="25" w:after="25" w:line="240" w:lineRule="auto"/>
              <w:ind w:firstLine="400"/>
              <w:jc w:val="left"/>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流程的协同性：流程支持和文档、日程、计划、任务等其他模块进行数据协作和同步，支持流程数据转化为其他应用的数据或触发其他应用功能。</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7"/>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流程运维的基本要求</w:t>
            </w:r>
          </w:p>
          <w:p>
            <w:pPr>
              <w:pStyle w:val="11"/>
              <w:tabs>
                <w:tab w:val="clear" w:pos="146"/>
              </w:tabs>
              <w:snapToGrid/>
              <w:spacing w:before="25" w:after="25" w:line="240" w:lineRule="auto"/>
              <w:jc w:val="left"/>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流程的审批意见，对于审批人的部门能多级显示，比如信息科上级是行政部，要能在流程审批中以“行政部&gt;信息科”或“行政部-信息科”等类似形式进行显示，提供功能截图予以证明。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知识管理</w:t>
            </w: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对公司内的各种公共资源进行收集、管理、检索、利用，包括但不限于各种制度、规范、成果、经验、工具、文化、知识等，可分为基础库和业务库。</w:t>
            </w:r>
          </w:p>
        </w:tc>
        <w:tc>
          <w:tcPr>
            <w:tcW w:w="567" w:type="dxa"/>
            <w:vMerge w:val="restart"/>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知识库支持word、PPT、PDF 、HTML、通用图像格式等附件文件在线预览、编辑、下载、打印，并可对知识打标签、推荐他人或群组部门。</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支持多种检索模式：</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可以根据关键字对主文档和历史文档进行全文搜索；</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可以根据文档属性进行组合条件的高级搜索，对搜索结果可以按相关性、文档创建日期进行排序；</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可以按目录类别、辅类别、部门、人员、时间等方式进行查阅检索。</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支持与流程关联，将知识信息生成培训考题；</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支持知识信息的多种利用，包括知识地图、专家库等；</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支持知识的分析与排名；</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9"/>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支持全局搜索。提供功能截图予以证明。</w:t>
            </w:r>
          </w:p>
        </w:tc>
        <w:tc>
          <w:tcPr>
            <w:tcW w:w="567" w:type="dxa"/>
            <w:vMerge w:val="continue"/>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协同平台</w:t>
            </w:r>
          </w:p>
        </w:tc>
        <w:tc>
          <w:tcPr>
            <w:tcW w:w="6956" w:type="dxa"/>
            <w:vAlign w:val="center"/>
          </w:tcPr>
          <w:p>
            <w:pPr>
              <w:spacing w:line="360" w:lineRule="exact"/>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协同平台是统一的业务协作和知识共享中心，全面集成各行政办公系统的信息、流程，满足集团各部门日常行政办公管理、业务协同等需要。实现集团总部与各子公司的公文处理电子化，对集团总部及各子公司会议、活动、重要接待等综合事务的协调管理以及实现集团总部与各子公司跨区域、跨部门的异地办公、移动办公能力。</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行政办公管理</w:t>
            </w:r>
          </w:p>
        </w:tc>
        <w:tc>
          <w:tcPr>
            <w:tcW w:w="6956" w:type="dxa"/>
            <w:vAlign w:val="center"/>
          </w:tcPr>
          <w:p>
            <w:pPr>
              <w:spacing w:line="360" w:lineRule="exact"/>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行政办公管理包括公文管理、用印管理、办公用品管理、会议管理、一周工作安排、重点工作督查督办等功能。重点梳理集团现有的各种行政办公制度，规范行政办公流程，实现行政办公效率的提升，管理的规范透明，通过流程建设，使行政办公制度电子化，流程规范化、标准化，提升集团行政办公执行力。</w:t>
            </w:r>
          </w:p>
          <w:p>
            <w:pPr>
              <w:pStyle w:val="11"/>
              <w:tabs>
                <w:tab w:val="clear" w:pos="146"/>
              </w:tabs>
              <w:snapToGrid/>
              <w:spacing w:before="25" w:after="25" w:line="240" w:lineRule="auto"/>
              <w:jc w:val="left"/>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（1）会议管理</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包括会议室管理和会议安排、会议通知、会议材料、会议纪要。具备会议通知的拟定、审核、发布等，会议室管理包括会议室概况、会议室状态、会议室的申请、审批、通知与会人、查询、使用统计等功能。能在日程安排的基础上，避免会议时间和会议场地的冲突。申请完毕后，将会议通知发送给与会单位或个人，支持短信提醒开会功能。会议纪要可自动归档。实现集团内部上会及下属公司会议上报的审核。</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会议分类管理：会议分为普通会议和公司级会议两种，预定会议室会议时用户可选择会管人员和会议需要的办公设备。</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会议室管理：可查看已登记的各个会议室的使用情况，能快速预定会议室并确定会议室的使用时间。可展示不同时间各会议室的占用情况、预订人、会议主题等信息。</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会议通知：会议流程发起后，支持通过短信平台、电子邮件、即时短信息等多种方式通知与会人员，并自动将会议安排进与会人员日程。系统可自动发出回执给予参会确认，支持参会人员下载会议相关资料。</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会议取消：支持以邮件、短信、即时消息等方式通知参会人。</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会议决议：能形成历史会议记录和会议纪要，支持关联公文发文。</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会议与日程关联：会议预定成功后能关联并进入到个人日程。</w:t>
            </w:r>
          </w:p>
          <w:p>
            <w:pPr>
              <w:pStyle w:val="3"/>
              <w:numPr>
                <w:ilvl w:val="0"/>
                <w:numId w:val="10"/>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会议查询：支持多条件组合查询会议状态。</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（2）领导一周工作安排</w:t>
            </w:r>
          </w:p>
          <w:p>
            <w:pPr>
              <w:pStyle w:val="3"/>
              <w:numPr>
                <w:ilvl w:val="0"/>
                <w:numId w:val="11"/>
              </w:numPr>
              <w:spacing w:after="0"/>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提供集团公司领导日程信息的新增、编辑、查看、检索</w:t>
            </w:r>
            <w:r>
              <w:rPr>
                <w:rFonts w:hint="eastAsia" w:ascii="Times New Roman" w:hAnsi="Times New Roman"/>
                <w:color w:val="000000" w:themeColor="text1"/>
                <w:kern w:val="0"/>
                <w:szCs w:val="21"/>
                <w:lang w:bidi="ar"/>
                <w14:textFill>
                  <w14:solidFill>
                    <w14:schemeClr w14:val="tx1"/>
                  </w14:solidFill>
                </w14:textFill>
              </w:rPr>
              <w:t>、</w:t>
            </w:r>
            <w:r>
              <w:rPr>
                <w:rFonts w:ascii="Times New Roman" w:hAnsi="Times New Roman"/>
                <w:color w:val="000000" w:themeColor="text1"/>
                <w:kern w:val="0"/>
                <w:szCs w:val="21"/>
                <w:lang w:bidi="ar"/>
                <w14:textFill>
                  <w14:solidFill>
                    <w14:schemeClr w14:val="tx1"/>
                  </w14:solidFill>
                </w14:textFill>
              </w:rPr>
              <w:t>保存、删除、查看、检索等；</w:t>
            </w:r>
          </w:p>
          <w:p>
            <w:pPr>
              <w:pStyle w:val="3"/>
              <w:numPr>
                <w:ilvl w:val="0"/>
                <w:numId w:val="11"/>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能对</w:t>
            </w:r>
            <w:r>
              <w:rPr>
                <w:rFonts w:ascii="Times New Roman" w:hAnsi="Times New Roman"/>
                <w:color w:val="000000" w:themeColor="text1"/>
                <w:kern w:val="0"/>
                <w:szCs w:val="21"/>
                <w:lang w:bidi="ar"/>
                <w14:textFill>
                  <w14:solidFill>
                    <w14:schemeClr w14:val="tx1"/>
                  </w14:solidFill>
                </w14:textFill>
              </w:rPr>
              <w:t>领导姓名、日期、</w:t>
            </w:r>
            <w:r>
              <w:rPr>
                <w:rFonts w:hint="eastAsia" w:ascii="Times New Roman" w:hAnsi="Times New Roman"/>
                <w:color w:val="000000" w:themeColor="text1"/>
                <w:kern w:val="0"/>
                <w:szCs w:val="21"/>
                <w:lang w:bidi="ar"/>
                <w14:textFill>
                  <w14:solidFill>
                    <w14:schemeClr w14:val="tx1"/>
                  </w14:solidFill>
                </w14:textFill>
              </w:rPr>
              <w:t>时间、</w:t>
            </w:r>
            <w:r>
              <w:rPr>
                <w:rFonts w:ascii="Times New Roman" w:hAnsi="Times New Roman"/>
                <w:color w:val="000000" w:themeColor="text1"/>
                <w:kern w:val="0"/>
                <w:szCs w:val="21"/>
                <w:lang w:bidi="ar"/>
                <w14:textFill>
                  <w14:solidFill>
                    <w14:schemeClr w14:val="tx1"/>
                  </w14:solidFill>
                </w14:textFill>
              </w:rPr>
              <w:t>活动名称、地点、相关人员（选填）、具体安排（选填）等栏目</w:t>
            </w:r>
            <w:r>
              <w:rPr>
                <w:rFonts w:hint="eastAsia" w:ascii="Times New Roman" w:hAnsi="Times New Roman"/>
                <w:color w:val="000000" w:themeColor="text1"/>
                <w:kern w:val="0"/>
                <w:szCs w:val="21"/>
                <w:lang w:bidi="ar"/>
                <w14:textFill>
                  <w14:solidFill>
                    <w14:schemeClr w14:val="tx1"/>
                  </w14:solidFill>
                </w14:textFill>
              </w:rPr>
              <w:t>的</w:t>
            </w:r>
            <w:r>
              <w:rPr>
                <w:rFonts w:ascii="Times New Roman" w:hAnsi="Times New Roman"/>
                <w:color w:val="000000" w:themeColor="text1"/>
                <w:kern w:val="0"/>
                <w:szCs w:val="21"/>
                <w:lang w:bidi="ar"/>
                <w14:textFill>
                  <w14:solidFill>
                    <w14:schemeClr w14:val="tx1"/>
                  </w14:solidFill>
                </w14:textFill>
              </w:rPr>
              <w:t>新增和编辑；</w:t>
            </w:r>
          </w:p>
          <w:p>
            <w:pPr>
              <w:pStyle w:val="3"/>
              <w:numPr>
                <w:ilvl w:val="0"/>
                <w:numId w:val="11"/>
              </w:numPr>
              <w:spacing w:after="0"/>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可按照领导姓名、日、周、月进行分类查看；</w:t>
            </w:r>
          </w:p>
          <w:p>
            <w:pPr>
              <w:pStyle w:val="3"/>
              <w:numPr>
                <w:ilvl w:val="0"/>
                <w:numId w:val="11"/>
              </w:numPr>
              <w:spacing w:after="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w:t>
            </w:r>
            <w:r>
              <w:rPr>
                <w:rFonts w:ascii="Times New Roman" w:hAnsi="Times New Roman"/>
                <w:color w:val="000000" w:themeColor="text1"/>
                <w:kern w:val="0"/>
                <w:szCs w:val="21"/>
                <w:lang w:bidi="ar"/>
                <w14:textFill>
                  <w14:solidFill>
                    <w14:schemeClr w14:val="tx1"/>
                  </w14:solidFill>
                </w14:textFill>
              </w:rPr>
              <w:t>通过关键词搜索并展示领导日程内相关内容。</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（3）多维度组织构架</w:t>
            </w:r>
          </w:p>
          <w:p>
            <w:pPr>
              <w:pStyle w:val="3"/>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系统需实现多维度组织架构（如行政维度、党委维度、财务维度、项目维度、板块维度等），具备矩阵管理功能，支持一人多岗管理模式。</w:t>
            </w:r>
            <w:r>
              <w:rPr>
                <w:rFonts w:hint="eastAsia" w:ascii="Times New Roman" w:hAnsi="Times New Roman"/>
                <w:color w:val="000000" w:themeColor="text1"/>
                <w:kern w:val="0"/>
                <w:szCs w:val="21"/>
                <w:lang w:bidi="ar"/>
                <w14:textFill>
                  <w14:solidFill>
                    <w14:schemeClr w14:val="tx1"/>
                  </w14:solidFill>
                </w14:textFill>
              </w:rPr>
              <w:t>提供功能截图予以证明。</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（4）制度管理</w:t>
            </w:r>
          </w:p>
          <w:p>
            <w:pPr>
              <w:rPr>
                <w:rFonts w:ascii="Times New Roman" w:hAnsi="Times New Roman"/>
                <w:color w:val="000000" w:themeColor="text1"/>
                <w:kern w:val="0"/>
                <w:szCs w:val="21"/>
                <w:lang w:bidi="ar"/>
                <w14:textFill>
                  <w14:solidFill>
                    <w14:schemeClr w14:val="tx1"/>
                  </w14:solidFill>
                </w14:textFill>
              </w:rPr>
            </w:pPr>
            <w:r>
              <w:rPr>
                <w:rFonts w:ascii="Times New Roman" w:hAnsi="Times New Roman"/>
                <w:color w:val="000000" w:themeColor="text1"/>
                <w:kern w:val="0"/>
                <w:szCs w:val="21"/>
                <w:lang w:bidi="ar"/>
                <w14:textFill>
                  <w14:solidFill>
                    <w14:schemeClr w14:val="tx1"/>
                  </w14:solidFill>
                </w14:textFill>
              </w:rPr>
              <w:t>实现公司制度管理的体系化、规范化、流程化</w:t>
            </w:r>
            <w:r>
              <w:rPr>
                <w:rFonts w:hint="eastAsia" w:ascii="Times New Roman" w:hAnsi="Times New Roman"/>
                <w:color w:val="000000" w:themeColor="text1"/>
                <w:kern w:val="0"/>
                <w:szCs w:val="21"/>
                <w:lang w:bidi="ar"/>
                <w14:textFill>
                  <w14:solidFill>
                    <w14:schemeClr w14:val="tx1"/>
                  </w14:solidFill>
                </w14:textFill>
              </w:rPr>
              <w:t>。支持</w:t>
            </w:r>
            <w:r>
              <w:rPr>
                <w:rFonts w:ascii="Times New Roman" w:hAnsi="Times New Roman"/>
                <w:color w:val="000000" w:themeColor="text1"/>
                <w:kern w:val="0"/>
                <w:szCs w:val="21"/>
                <w:lang w:bidi="ar"/>
                <w14:textFill>
                  <w14:solidFill>
                    <w14:schemeClr w14:val="tx1"/>
                  </w14:solidFill>
                </w14:textFill>
              </w:rPr>
              <w:t>制度类流程实现文件新增、修订、升版、废除等过程管理。</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2"/>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日程管理</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（1）实时管理个人日程，如请假、出差、会议、任务、工作安排等能自动汇总到个人日程，同时实现移动终端上实时查看个人日程。</w:t>
            </w:r>
          </w:p>
          <w:p>
            <w:pPr>
              <w:pStyle w:val="11"/>
              <w:tabs>
                <w:tab w:val="clear" w:pos="146"/>
              </w:tabs>
              <w:snapToGrid/>
              <w:spacing w:before="25" w:after="25" w:line="240" w:lineRule="auto"/>
              <w:jc w:val="both"/>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（2）流程与日程可以协同打通，如《请假申请》流程结束并归档后，可以在日程中体现。提供功能截图予以证明。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rFonts w:ascii="仿宋" w:hAnsi="仿宋"/>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即时通讯</w:t>
            </w:r>
          </w:p>
        </w:tc>
        <w:tc>
          <w:tcPr>
            <w:tcW w:w="6956" w:type="dxa"/>
            <w:vAlign w:val="center"/>
          </w:tcPr>
          <w:p>
            <w:pPr>
              <w:numPr>
                <w:ilvl w:val="0"/>
                <w:numId w:val="13"/>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提供给集团全员消息即时沟通、文件共享的沟通渠道。支持集团企业微信、建立集团移动端即时沟通渠道等通讯联络方式。</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3"/>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具备手机端、网页端等多种工具客户端。</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3"/>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支持BS\CS\手机 三种客户端即时通讯，支持背景水印留痕。</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通讯录</w:t>
            </w:r>
          </w:p>
        </w:tc>
        <w:tc>
          <w:tcPr>
            <w:tcW w:w="6956" w:type="dxa"/>
            <w:vAlign w:val="center"/>
          </w:tcPr>
          <w:p>
            <w:pPr>
              <w:spacing w:line="360" w:lineRule="exact"/>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支持通讯录的分类、设置及查询功能，实现通讯方式个人维护，支持不同公司不同部门构建不同通讯录。</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个人设置</w:t>
            </w:r>
          </w:p>
        </w:tc>
        <w:tc>
          <w:tcPr>
            <w:tcW w:w="6956" w:type="dxa"/>
            <w:vAlign w:val="center"/>
          </w:tcPr>
          <w:p>
            <w:pPr>
              <w:spacing w:line="360" w:lineRule="exact"/>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设置用户个人密码，修改联系方式等信息，也可设置出差、休假等用户状态。同时在个人设置中可以定制个性化办公桌面风格</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移动办公应用管理</w:t>
            </w:r>
          </w:p>
        </w:tc>
        <w:tc>
          <w:tcPr>
            <w:tcW w:w="6956" w:type="dxa"/>
            <w:vAlign w:val="center"/>
          </w:tcPr>
          <w:p>
            <w:pPr>
              <w:numPr>
                <w:ilvl w:val="0"/>
                <w:numId w:val="1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平台中移动应用须提供包括手机、平板电脑（支持IOS和安卓系统）等APP应用，支持在这些移动终端上进行移动办公。</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移动安全：支持通过移动终端的设备绑定方式来控制移动设备的安全性，并且支持多种安全验证方式来进行移动办公。</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移动门户：</w:t>
            </w:r>
          </w:p>
          <w:p>
            <w:pPr>
              <w:pStyle w:val="11"/>
              <w:numPr>
                <w:ilvl w:val="0"/>
                <w:numId w:val="15"/>
              </w:numPr>
              <w:tabs>
                <w:tab w:val="clear" w:pos="146"/>
              </w:tabs>
              <w:snapToGrid/>
              <w:spacing w:before="25" w:after="25" w:line="240" w:lineRule="auto"/>
              <w:jc w:val="left"/>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可将新闻、公告、待办、文件、留言、任务、会议等信息，根据每一个人的岗位进行个性化推送。</w:t>
            </w:r>
          </w:p>
          <w:p>
            <w:pPr>
              <w:pStyle w:val="11"/>
              <w:numPr>
                <w:ilvl w:val="0"/>
                <w:numId w:val="15"/>
              </w:numPr>
              <w:tabs>
                <w:tab w:val="clear" w:pos="146"/>
              </w:tabs>
              <w:snapToGrid/>
              <w:spacing w:before="25" w:after="25" w:line="240" w:lineRule="auto"/>
              <w:jc w:val="left"/>
              <w:rPr>
                <w:rFonts w:ascii="Times New Roman" w:hAnsi="Times New Roman"/>
                <w:color w:val="000000" w:themeColor="text1"/>
                <w:spacing w:val="0"/>
                <w:sz w:val="21"/>
                <w:szCs w:val="21"/>
                <w:lang w:bidi="ar"/>
                <w14:textFill>
                  <w14:solidFill>
                    <w14:schemeClr w14:val="tx1"/>
                  </w14:solidFill>
                </w14:textFill>
              </w:rPr>
            </w:pPr>
            <w:r>
              <w:rPr>
                <w:rFonts w:hint="eastAsia" w:ascii="Times New Roman" w:hAnsi="Times New Roman"/>
                <w:color w:val="000000" w:themeColor="text1"/>
                <w:spacing w:val="0"/>
                <w:sz w:val="21"/>
                <w:szCs w:val="21"/>
                <w:lang w:bidi="ar"/>
                <w14:textFill>
                  <w14:solidFill>
                    <w14:schemeClr w14:val="tx1"/>
                  </w14:solidFill>
                </w14:textFill>
              </w:rPr>
              <w:t>移动门户自定义：支持包括门户的布局、VI、菜单、信息来源、门户组件、内容元素的自定义，支持通过集成引擎可以集成其它异构系统一并展现到手机门户上。</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4"/>
              </w:numPr>
              <w:spacing w:line="360" w:lineRule="exact"/>
              <w:ind w:firstLine="0"/>
              <w:rPr>
                <w:rFonts w:ascii="Times New Roman" w:hAnsi="Times New Roman"/>
                <w:color w:val="000000" w:themeColor="text1"/>
                <w:kern w:val="0"/>
                <w:szCs w:val="21"/>
                <w:lang w:bidi="ar"/>
                <w14:textFill>
                  <w14:solidFill>
                    <w14:schemeClr w14:val="tx1"/>
                  </w14:solidFill>
                </w14:textFill>
              </w:rPr>
            </w:pPr>
            <w:r>
              <w:rPr>
                <w:rFonts w:hint="eastAsia" w:ascii="Times New Roman" w:hAnsi="Times New Roman"/>
                <w:color w:val="000000" w:themeColor="text1"/>
                <w:kern w:val="0"/>
                <w:szCs w:val="21"/>
                <w:lang w:bidi="ar"/>
                <w14:textFill>
                  <w14:solidFill>
                    <w14:schemeClr w14:val="tx1"/>
                  </w14:solidFill>
                </w14:textFill>
              </w:rPr>
              <w:t>移动审批：支持在移动端进行流程的申请及审批，支持手写批注、手写签名、语音批注等审批，支持在移动终端上进行与流程相关的信息关联透视。</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移动文档查阅：提供在移动终端上查看本人有权限的文档信息，支持</w:t>
            </w:r>
            <w:r>
              <w:rPr>
                <w:color w:val="000000" w:themeColor="text1"/>
                <w:szCs w:val="21"/>
                <w14:textFill>
                  <w14:solidFill>
                    <w14:schemeClr w14:val="tx1"/>
                  </w14:solidFill>
                </w14:textFill>
              </w:rPr>
              <w:t>O</w:t>
            </w:r>
            <w:r>
              <w:rPr>
                <w:rFonts w:hint="eastAsia"/>
                <w:color w:val="000000" w:themeColor="text1"/>
                <w:szCs w:val="21"/>
                <w14:textFill>
                  <w14:solidFill>
                    <w14:schemeClr w14:val="tx1"/>
                  </w14:solidFill>
                </w14:textFill>
              </w:rPr>
              <w:t>ffice及PDF格式进行打开。</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移动日程：实现日程P</w:t>
            </w:r>
            <w:r>
              <w:rPr>
                <w:color w:val="000000" w:themeColor="text1"/>
                <w:szCs w:val="21"/>
                <w14:textFill>
                  <w14:solidFill>
                    <w14:schemeClr w14:val="tx1"/>
                  </w14:solidFill>
                </w14:textFill>
              </w:rPr>
              <w:t>C</w:t>
            </w:r>
            <w:r>
              <w:rPr>
                <w:rFonts w:hint="eastAsia"/>
                <w:color w:val="000000" w:themeColor="text1"/>
                <w:szCs w:val="21"/>
                <w14:textFill>
                  <w14:solidFill>
                    <w14:schemeClr w14:val="tx1"/>
                  </w14:solidFill>
                </w14:textFill>
              </w:rPr>
              <w:t>端与移动端的双向同步，通过手机日历就能对一周工作安排进行提醒。</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移动扩展功能：实现移动任务、移动邮件、移动通讯录、移动考勤、内部微信沟通、移动报表等。</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业务建模平台</w:t>
            </w:r>
          </w:p>
        </w:tc>
        <w:tc>
          <w:tcPr>
            <w:tcW w:w="6956" w:type="dxa"/>
            <w:vAlign w:val="center"/>
          </w:tcPr>
          <w:p>
            <w:pPr>
              <w:numPr>
                <w:ilvl w:val="0"/>
                <w:numId w:val="16"/>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具备成熟的系统基础功能，如多语言、权限控制、工作流引擎、缓存机制等；</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6"/>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提供基于Web的可视化工具设计表单，拖拽定义流程图，通用组件进行个性化功能建模；</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6"/>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具备抽象大量可扩展的组件，提供可复用的代码片段，降低编码工作的难度与工作量；</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6"/>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业务建模平台构建出的应用能够进行打包、发布、重用。</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系统集成及二次开发平台</w:t>
            </w: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系统具备集成平台，支持提供各种基于开放标准的集成接口，支持与异构系统进行无缝集成且能够提供各种二次开发组件。</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支持基础数据集成，如组织、人员和用户信息数据的集成同步，须提供功能截图予以证明。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11"/>
              <w:tabs>
                <w:tab w:val="clear" w:pos="146"/>
              </w:tabs>
              <w:snapToGrid/>
              <w:spacing w:before="25" w:after="25" w:line="240" w:lineRule="auto"/>
              <w:jc w:val="left"/>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3</w:t>
            </w:r>
            <w:r>
              <w:rPr>
                <w:rFonts w:ascii="Courier New" w:hAnsi="Courier New"/>
                <w:color w:val="000000" w:themeColor="text1"/>
                <w:spacing w:val="0"/>
                <w:kern w:val="2"/>
                <w:sz w:val="21"/>
                <w:szCs w:val="21"/>
                <w14:textFill>
                  <w14:solidFill>
                    <w14:schemeClr w14:val="tx1"/>
                  </w14:solidFill>
                </w14:textFill>
              </w:rPr>
              <w:t>.</w:t>
            </w:r>
            <w:r>
              <w:rPr>
                <w:rFonts w:hint="eastAsia" w:ascii="Courier New" w:hAnsi="Courier New"/>
                <w:color w:val="000000" w:themeColor="text1"/>
                <w:spacing w:val="0"/>
                <w:kern w:val="2"/>
                <w:sz w:val="21"/>
                <w:szCs w:val="21"/>
                <w14:textFill>
                  <w14:solidFill>
                    <w14:schemeClr w14:val="tx1"/>
                  </w14:solidFill>
                </w14:textFill>
              </w:rPr>
              <w:t>支持多种异构系统与协同管理平台集成对接，实现异构系统业务流程的对接，须提供功能截图予以证明。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支持直接读取异构系统数据并生成工作流、异构系统能触发工作流到协同管理平台并获取相关流程数据，须提供功能截图予以证明。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支持业务数据集成，支持流程流转中和异构系统数据交互、获取异构系统多类型数据并形成的统计报表，须提供功能截图予以证明。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支持文件集成，提供文件交换接口、数据源接口、计划任务接口等，须提供功能截图予以证明。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支持消息集成，如提醒消息、通讯消息、短信API等的集成，须提供功能截图予以证明。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具有低代码开发平台，支持界面无侵入定制开发，能不修改源码就实现需求功能，且通过浏览器可直接查看效果。支持导入导出实现功能代码的分享、使用和复用，功能代码插件化，须提供功能截图予以证明。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基础引擎平台</w:t>
            </w: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系统具备七大基础引擎平台：组织引擎（分级分权引擎）、流程引擎、内容引擎、报表引擎、集成引擎、门户引擎、业务及移动建模引擎等。</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11"/>
              <w:jc w:val="left"/>
              <w:rPr>
                <w:color w:val="000000" w:themeColor="text1"/>
                <w:szCs w:val="21"/>
                <w14:textFill>
                  <w14:solidFill>
                    <w14:schemeClr w14:val="tx1"/>
                  </w14:solidFill>
                </w14:textFill>
              </w:rPr>
            </w:pPr>
            <w:r>
              <w:rPr>
                <w:rFonts w:ascii="Courier New" w:hAnsi="Courier New"/>
                <w:color w:val="000000" w:themeColor="text1"/>
                <w:spacing w:val="0"/>
                <w:kern w:val="2"/>
                <w:sz w:val="21"/>
                <w:szCs w:val="21"/>
                <w14:textFill>
                  <w14:solidFill>
                    <w14:schemeClr w14:val="tx1"/>
                  </w14:solidFill>
                </w14:textFill>
              </w:rPr>
              <w:t>1.</w:t>
            </w:r>
            <w:r>
              <w:rPr>
                <w:rFonts w:hint="eastAsia" w:ascii="Courier New" w:hAnsi="Courier New"/>
                <w:color w:val="000000" w:themeColor="text1"/>
                <w:spacing w:val="0"/>
                <w:kern w:val="2"/>
                <w:sz w:val="21"/>
                <w:szCs w:val="21"/>
                <w14:textFill>
                  <w14:solidFill>
                    <w14:schemeClr w14:val="tx1"/>
                  </w14:solidFill>
                </w14:textFill>
              </w:rPr>
              <w:t>组织引擎（分级分权引擎）：能实现集团企业多级组织架构的分权管理。支持集中部署，各级公司分权应用、分级维护，支持多层次、多维组织结构，支持一人多岗，具备矩阵管理模式。</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3"/>
              <w:spacing w:after="0"/>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门户引擎：支持门户版式、行列、元素、内容等自定义，门户元素可以拖拉拽调整。具备分级分权的维护权限。</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3"/>
              <w:spacing w:after="0"/>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流程引擎：流程引擎必须具备的核心技术（包括但不限于），提供图形化工作流自定义设计器，支持批量修改或调整；具备流程串行、并行、分发处理功能，支持设置任意的复杂条件来决定流程的流转方向；能实现版本控制，支持导入/导出/备份；具有流程批量维护功能；流程模拟测试功能，流程通过后台进行模拟测试，减少流程配置出错率；工作流程需与要求的相关管理模块实现字段或属性关联；通过流程流转实现信息及数据与各个应用模块的协同；提供流程、邮件、短信、即时消息等多种提醒方式；可以随时监控流程的流转情况，对流程异常情况需提供提醒；必须为基于SOA架构的BPM技术平台，支持WebService。</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11"/>
              <w:tabs>
                <w:tab w:val="clear" w:pos="146"/>
              </w:tabs>
              <w:snapToGrid/>
              <w:spacing w:before="25" w:after="25" w:line="240" w:lineRule="auto"/>
              <w:jc w:val="both"/>
              <w:rPr>
                <w:rFonts w:ascii="Courier New" w:hAnsi="Courier New"/>
                <w:color w:val="000000" w:themeColor="text1"/>
                <w:spacing w:val="0"/>
                <w:kern w:val="2"/>
                <w:sz w:val="21"/>
                <w:szCs w:val="21"/>
                <w14:textFill>
                  <w14:solidFill>
                    <w14:schemeClr w14:val="tx1"/>
                  </w14:solidFill>
                </w14:textFill>
              </w:rPr>
            </w:pPr>
            <w:r>
              <w:rPr>
                <w:rFonts w:ascii="Courier New" w:hAnsi="Courier New"/>
                <w:color w:val="000000" w:themeColor="text1"/>
                <w:spacing w:val="0"/>
                <w:kern w:val="2"/>
                <w:sz w:val="21"/>
                <w:szCs w:val="21"/>
                <w14:textFill>
                  <w14:solidFill>
                    <w14:schemeClr w14:val="tx1"/>
                  </w14:solidFill>
                </w14:textFill>
              </w:rPr>
              <w:t>4.</w:t>
            </w:r>
            <w:r>
              <w:rPr>
                <w:rFonts w:hint="eastAsia" w:ascii="Courier New" w:hAnsi="Courier New"/>
                <w:color w:val="000000" w:themeColor="text1"/>
                <w:spacing w:val="0"/>
                <w:kern w:val="2"/>
                <w:sz w:val="21"/>
                <w:szCs w:val="21"/>
                <w14:textFill>
                  <w14:solidFill>
                    <w14:schemeClr w14:val="tx1"/>
                  </w14:solidFill>
                </w14:textFill>
              </w:rPr>
              <w:t>报表引擎：可作为一个通用的工具独立于系统存在，能为各个系统提供报表服务。要求基于B/S架构开发，用户通过浏览器就能浏览报表、图表等信息；提供可视化的报表设计功能，可以方便的设计业务和统计报表；支持各种常见的如表格、直方图、饼图等格式图表；支持多种统计方式；支持常见的 Excel 计算函数；报表的结果可以另存为 Excel 电子表格或 HTML 格式的文件。</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11"/>
              <w:tabs>
                <w:tab w:val="clear" w:pos="146"/>
              </w:tabs>
              <w:snapToGrid/>
              <w:spacing w:before="25" w:after="25" w:line="240" w:lineRule="auto"/>
              <w:jc w:val="both"/>
              <w:rPr>
                <w:rFonts w:ascii="Courier New" w:hAnsi="Courier New"/>
                <w:color w:val="000000" w:themeColor="text1"/>
                <w:spacing w:val="0"/>
                <w:kern w:val="2"/>
                <w:sz w:val="21"/>
                <w:szCs w:val="21"/>
                <w14:textFill>
                  <w14:solidFill>
                    <w14:schemeClr w14:val="tx1"/>
                  </w14:solidFill>
                </w14:textFill>
              </w:rPr>
            </w:pPr>
            <w:r>
              <w:rPr>
                <w:rFonts w:ascii="Courier New" w:hAnsi="Courier New"/>
                <w:color w:val="000000" w:themeColor="text1"/>
                <w:spacing w:val="0"/>
                <w:kern w:val="2"/>
                <w:sz w:val="21"/>
                <w:szCs w:val="21"/>
                <w14:textFill>
                  <w14:solidFill>
                    <w14:schemeClr w14:val="tx1"/>
                  </w14:solidFill>
                </w14:textFill>
              </w:rPr>
              <w:t>5.</w:t>
            </w:r>
            <w:r>
              <w:rPr>
                <w:rFonts w:hint="eastAsia" w:ascii="Courier New" w:hAnsi="Courier New"/>
                <w:color w:val="000000" w:themeColor="text1"/>
                <w:spacing w:val="0"/>
                <w:kern w:val="2"/>
                <w:sz w:val="21"/>
                <w:szCs w:val="21"/>
                <w14:textFill>
                  <w14:solidFill>
                    <w14:schemeClr w14:val="tx1"/>
                  </w14:solidFill>
                </w14:textFill>
              </w:rPr>
              <w:t>内容引擎：能够对各类文件、资料、报表等进行统一管理，支持多级目录设置功能；支持HTML、Word、Excel等多种在线编辑和保存功能；支持多附件上传；提供模板管理功能；具有严格的权限控制；支持大容量文件上传和断点续传；支持灵活的查询以及全文检索；提供版本管理功能；提供对文档内容进行发送发放管理功能；提供富文本信息的发布及审核，能对目标人群设定；提供对文档信息的查询统计功能。</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11"/>
              <w:tabs>
                <w:tab w:val="clear" w:pos="146"/>
              </w:tabs>
              <w:snapToGrid/>
              <w:spacing w:before="25" w:after="25" w:line="240" w:lineRule="auto"/>
              <w:jc w:val="left"/>
              <w:rPr>
                <w:rFonts w:ascii="Courier New" w:hAnsi="Courier New"/>
                <w:color w:val="000000" w:themeColor="text1"/>
                <w:spacing w:val="0"/>
                <w:kern w:val="2"/>
                <w:sz w:val="21"/>
                <w:szCs w:val="21"/>
                <w14:textFill>
                  <w14:solidFill>
                    <w14:schemeClr w14:val="tx1"/>
                  </w14:solidFill>
                </w14:textFill>
              </w:rPr>
            </w:pPr>
            <w:r>
              <w:rPr>
                <w:rFonts w:ascii="Courier New" w:hAnsi="Courier New"/>
                <w:color w:val="000000" w:themeColor="text1"/>
                <w:spacing w:val="0"/>
                <w:kern w:val="2"/>
                <w:sz w:val="21"/>
                <w:szCs w:val="21"/>
                <w14:textFill>
                  <w14:solidFill>
                    <w14:schemeClr w14:val="tx1"/>
                  </w14:solidFill>
                </w14:textFill>
              </w:rPr>
              <w:t>6.</w:t>
            </w:r>
            <w:r>
              <w:rPr>
                <w:rFonts w:hint="eastAsia" w:ascii="Courier New" w:hAnsi="Courier New"/>
                <w:color w:val="000000" w:themeColor="text1"/>
                <w:spacing w:val="0"/>
                <w:kern w:val="2"/>
                <w:sz w:val="21"/>
                <w:szCs w:val="21"/>
                <w14:textFill>
                  <w14:solidFill>
                    <w14:schemeClr w14:val="tx1"/>
                  </w14:solidFill>
                </w14:textFill>
              </w:rPr>
              <w:t>集成引擎：能够提供各种基于开放标准的集成接口，实现异构系统数据源配置，方便与其他业务系统进行无缝集成；能够提供各种二次开放组件，能以低代码方式进行二次开发。</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业务建模及移动引擎：（1）移动建模引擎：移动流程审批、移动流程发起自适应；支持工作流程直接推送到手机端，无需二次开发就可实现移动在线审批；提供完全可视化的移动建模环境，集流程图设计，业务规则定制和运行跟踪于一体，只通过后台配置，无需二次开发可提供移动终端扩展应用；支持移动端与异构系统进行对接；能灵活设置多种移动端安全访问机制，移动数据传输支持SSL隧道加密。</w:t>
            </w:r>
          </w:p>
          <w:p>
            <w:pPr>
              <w:pStyle w:val="11"/>
              <w:numPr>
                <w:ilvl w:val="0"/>
                <w:numId w:val="15"/>
              </w:numPr>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业务建模引擎：可快速自定义各种轻量化业务应用，以及通过自定义表单构建各种自业务台账；可通过配置方式实现流程与各业务台账之间数据交换和状态变更；可快速自定义各业务台账查询报表。</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云桥平台：支持将移动应用发布到企业微信中，支持通过企业微信的统一入口，能实现移动应用的访问。</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数据安全需求</w:t>
            </w:r>
          </w:p>
        </w:tc>
        <w:tc>
          <w:tcPr>
            <w:tcW w:w="6956" w:type="dxa"/>
            <w:vAlign w:val="center"/>
          </w:tcPr>
          <w:p>
            <w:pPr>
              <w:numPr>
                <w:ilvl w:val="0"/>
                <w:numId w:val="17"/>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实现7*24小时在线数据服务;</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7"/>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充分考虑冗余、备份、容灾、故障快速恢复机制;</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7"/>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通过数据库安全隔离、系统数据的使用规范等措施提升数据安全。</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系统性能需求</w:t>
            </w:r>
          </w:p>
        </w:tc>
        <w:tc>
          <w:tcPr>
            <w:tcW w:w="6956" w:type="dxa"/>
            <w:vAlign w:val="center"/>
          </w:tcPr>
          <w:p>
            <w:pPr>
              <w:pStyle w:val="11"/>
              <w:tabs>
                <w:tab w:val="clear" w:pos="146"/>
              </w:tabs>
              <w:snapToGrid/>
              <w:spacing w:before="25" w:after="25" w:line="240" w:lineRule="auto"/>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1</w:t>
            </w:r>
            <w:r>
              <w:rPr>
                <w:rFonts w:ascii="Courier New" w:hAnsi="Courier New"/>
                <w:color w:val="000000" w:themeColor="text1"/>
                <w:spacing w:val="0"/>
                <w:kern w:val="2"/>
                <w:sz w:val="21"/>
                <w:szCs w:val="21"/>
                <w14:textFill>
                  <w14:solidFill>
                    <w14:schemeClr w14:val="tx1"/>
                  </w14:solidFill>
                </w14:textFill>
              </w:rPr>
              <w:t>.</w:t>
            </w:r>
            <w:r>
              <w:rPr>
                <w:rFonts w:hint="eastAsia" w:ascii="Courier New" w:hAnsi="Courier New"/>
                <w:color w:val="000000" w:themeColor="text1"/>
                <w:spacing w:val="0"/>
                <w:kern w:val="2"/>
                <w:sz w:val="21"/>
                <w:szCs w:val="21"/>
                <w14:textFill>
                  <w14:solidFill>
                    <w14:schemeClr w14:val="tx1"/>
                  </w14:solidFill>
                </w14:textFill>
              </w:rPr>
              <w:t>稳定性和可靠性：系统应能够连续不断稳定可靠的工作；软件版本升级或改进应在不影响业务的情况下进行，保证系统可以稳定、平滑过渡；面向最终用户的单次事务性（例如：页面提交、页面导航等）操作响应时间应小于2 秒；系统应提供能支持满负荷的系统配置及硬件要求，以保障在极端情况下系统延迟响应不能影响正常工作使用。</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先进性和成熟性：系统采用先进的、成熟的、可持续发展的技术方法，采用开放的体系结构，实现主数据管理和应用目标。</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前瞻性和完整性：系统平台和架构要具有良好的前瞻性和可扩展性，不仅能完全满足本次项目建设要求，还要满足系统未来的功能扩展要求，保证协同管理平台建设的一致性、系统性和完整性。</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pStyle w:val="11"/>
              <w:tabs>
                <w:tab w:val="clear" w:pos="146"/>
              </w:tabs>
              <w:snapToGrid/>
              <w:spacing w:before="25" w:after="25" w:line="240" w:lineRule="auto"/>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4</w:t>
            </w:r>
            <w:r>
              <w:rPr>
                <w:rFonts w:ascii="Courier New" w:hAnsi="Courier New"/>
                <w:color w:val="000000" w:themeColor="text1"/>
                <w:spacing w:val="0"/>
                <w:kern w:val="2"/>
                <w:sz w:val="21"/>
                <w:szCs w:val="21"/>
                <w14:textFill>
                  <w14:solidFill>
                    <w14:schemeClr w14:val="tx1"/>
                  </w14:solidFill>
                </w14:textFill>
              </w:rPr>
              <w:t>.</w:t>
            </w:r>
            <w:r>
              <w:rPr>
                <w:rFonts w:hint="eastAsia" w:ascii="Courier New" w:hAnsi="Courier New"/>
                <w:color w:val="000000" w:themeColor="text1"/>
                <w:spacing w:val="0"/>
                <w:kern w:val="2"/>
                <w:sz w:val="21"/>
                <w:szCs w:val="21"/>
                <w14:textFill>
                  <w14:solidFill>
                    <w14:schemeClr w14:val="tx1"/>
                  </w14:solidFill>
                </w14:textFill>
              </w:rPr>
              <w:t>安全性：系统能对用户认证和权限分配严格区分；支持LDAP 认证、集成CA等认证方式，支持统一的人员身份认证；角色权限控制细度到数据库字段级；支持基于角色或资源的授权方式，支持采用角色来控制对特定操作的访问权，支持层次化、结构化和区域化的角色设定；能支持决定哪些角色允许访问哪些资源和哪类操作（如读、写、删除、显示等）；具备对数据源和关键操作追踪的能力；系统能提供授权的审核机制；获得国家相关安全认证。</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可管理性：系统应能满足集中和分布式的管理模式，能满足分级管理的需要，以降低管理的成本，提高管理的有效性。</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可扩展性：平台具有二次开发扩展功能，能够满足未来集团对于自主需求的扩展。</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培训要求</w:t>
            </w: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供应商在系统实施过程中，应对集团员工及系统管理员进行全方位的知识转移，并使集团具备独立进行项目实施、维护能力。</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将知识转移贯穿到项目实施的过程当中，并在每个关键节点列出需要进行知识转移的内容，在关键节点审查中，均对知识转移成果进行评估。</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供应商须提供应用级和系统级两种培训。应用级培训指一般用户的基础操作培训和部门信息管理员的日常应用维护的培训；系统级培训指对系统管理员进行简单的流程开发培训和系统管理培训。</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供应商应提供培训教材及必要的培训设备，保证培训质量。</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对部门信息系统管理员的培训应达到的要求：可以维护日常应用方面出现的问题。</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对系统管理员的培训应达到的要求：具有熟练查询各种手册和维护手册的能力；能够对系统级的错误进行初步判断的能力；能够独立安装、调试系统；能够独立进行数据备份与恢复；后续新增流程的调研、设计、搭建、测试；同时保证系统管理员有能力对其他新进人员进行一般应用培训。</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8"/>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供应商须列出详细的培训计划（包括培训方式、时间、课程内容、人数、地点、质量保证等）相关条款进行阐述，并提供培训资料。</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仿宋" w:hAnsi="仿宋"/>
                <w:color w:val="000000" w:themeColor="text1"/>
                <w:szCs w:val="21"/>
                <w14:textFill>
                  <w14:solidFill>
                    <w14:schemeClr w14:val="tx1"/>
                  </w14:solidFill>
                </w14:textFill>
              </w:rPr>
              <w:t>项目实施要求</w:t>
            </w:r>
          </w:p>
        </w:tc>
        <w:tc>
          <w:tcPr>
            <w:tcW w:w="6956" w:type="dxa"/>
            <w:vAlign w:val="center"/>
          </w:tcPr>
          <w:p>
            <w:pPr>
              <w:numPr>
                <w:ilvl w:val="0"/>
                <w:numId w:val="19"/>
              </w:numPr>
              <w:spacing w:line="360" w:lineRule="exact"/>
              <w:ind w:firstLine="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实施过程要求</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（1）投标方应保证项目按期完成并投入正常运行；</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投标人应在充分理解本采购文件用户需求的基础上，以确保工程质量为前提，制定具体的切实可行的项目详细实施进度计划。</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（2）项目团队必须按照投标文件中承诺的现场开发人数投入项目的实施；</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如因开发人员能力不足，导致项目实施延期或不能达到本项目的要求，中标方应承担相应违约责任；</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（3）中标方必须提供专业的维护队伍，在全系统生命周期内提供平台基础设施系统软件、应用系统软件、信息安全系统等各方面的维护，满足集团所需的与平台相关的各类技术服务；</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（4）对于自行开发的应用，需要提供系统运行与维护所需要的管理工具；</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5）投标人需承诺中标后：在合同签定后至验收合格前，应用软件相关部分需保证不少于3人的驻场软件开发工程师队伍，确保现场软件系统个性化修改的及时性。同时，在应用软件验收合格后，在一期双方界定的实施需求范围内，技术人员现场响应时间需在1个小时以内，确保软件的正常运行与及时修改维护。</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（6）在系统建设中，中标方必须提供完整的系统设计、运行与维护文档(规范、标准、操作手册)，如果系统运行与维护的文档发生了变更，则需要及时对系统管理员进行相应的技术培训和教育；</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（7）投标人需承诺对于本次采购的OA系统需求，在交付时进行100%响应，分别提供投标人承诺函以及OA系统厂商承诺函原件（加盖鲜章有效）；</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（8）系统上线之前，对系统管理员进行充分的技术培训和教育，保证管理人员掌握必要的管理工具，通晓管理规范；</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9）系统上线后，需要进行为期不少于1个月的试运行，在试运行阶段过程中，进行用户培训、系统调优等工作，直至系统稳定，满足验收标准。试运行期间系统对应部分如果无明显异常，则在试运行结束时，中标方可以申请部分验收或系统验收；试运行期间系统对应部分如果出现故障或异常，在解决出现的故障或异常后，用户可以适当延长试运行期。如果上述故障及其解决发生在系统试运行期，用户还可以适当延长免费维护期；</w:t>
            </w:r>
          </w:p>
          <w:p>
            <w:pPr>
              <w:pStyle w:val="11"/>
              <w:ind w:firstLine="560"/>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（10）系统验收后的一个月运行期间，中标方应维持一支包括系统开发人员组成的技术队伍常派现场。若提供的产品出现问题或故障时，应立即进行维护和解决问题；</w:t>
            </w:r>
          </w:p>
          <w:p>
            <w:pPr>
              <w:pStyle w:val="11"/>
              <w:ind w:firstLine="560"/>
              <w:jc w:val="left"/>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（11）免费维护期内，建设方若有整体搬迁机房需求，中标方应提供设备搬迁与调试工作，不得另行收取费用，提供投标人承诺函原件（加盖鲜章有效）；</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9"/>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成果交付要求</w:t>
            </w:r>
          </w:p>
          <w:p>
            <w:pPr>
              <w:pStyle w:val="11"/>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项目的开发过程中和交付使用后，各个阶段都会有各种成果和文档资料。这些成果和文档资料对所开发系统的维护和持续发展起着非常重大的作用。因此，要求将全面、规范的成果和文档资料交付给采购方，而且要提供明确的交付清单。同时，成果和文档资料必须符合软件工程的相关要求。</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9"/>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质量保证期</w:t>
            </w:r>
          </w:p>
          <w:p>
            <w:pPr>
              <w:pStyle w:val="11"/>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质量保证期：在验收合格后，买卖双方签订最终验收报告之日起不少于12个月，质保期内不定期（具体约定在合同中体现）的进行保养和校准，并提供书面证明。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spacing w:line="360" w:lineRule="exact"/>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19"/>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售后服务</w:t>
            </w:r>
          </w:p>
          <w:p>
            <w:pPr>
              <w:pStyle w:val="11"/>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 xml:space="preserve">（1）投标人应在投标书中详细列出售后服务清单，对每项服务需明确服务提供方名称、服务内容、服务方式、服务人员技术要求以及服务响应时间等。 </w:t>
            </w:r>
          </w:p>
          <w:p>
            <w:pPr>
              <w:pStyle w:val="11"/>
              <w:jc w:val="both"/>
              <w:rPr>
                <w:rFonts w:ascii="Courier New" w:hAnsi="Courier New"/>
                <w:color w:val="000000" w:themeColor="text1"/>
                <w:spacing w:val="0"/>
                <w:kern w:val="2"/>
                <w:sz w:val="21"/>
                <w:szCs w:val="21"/>
                <w14:textFill>
                  <w14:solidFill>
                    <w14:schemeClr w14:val="tx1"/>
                  </w14:solidFill>
                </w14:textFill>
              </w:rPr>
            </w:pPr>
            <w:r>
              <w:rPr>
                <w:rFonts w:hint="eastAsia" w:ascii="Courier New" w:hAnsi="Courier New"/>
                <w:color w:val="000000" w:themeColor="text1"/>
                <w:spacing w:val="0"/>
                <w:kern w:val="2"/>
                <w:sz w:val="21"/>
                <w:szCs w:val="21"/>
                <w14:textFill>
                  <w14:solidFill>
                    <w14:schemeClr w14:val="tx1"/>
                  </w14:solidFill>
                </w14:textFill>
              </w:rPr>
              <w:t>（2）故障级别及响应</w:t>
            </w:r>
          </w:p>
          <w:p>
            <w:pPr>
              <w:pStyle w:val="3"/>
              <w:numPr>
                <w:ilvl w:val="0"/>
                <w:numId w:val="20"/>
              </w:numPr>
              <w:spacing w:after="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一级故障：系统崩溃或系统性能严重下降，业务系统无法正常运行。30分钟内提供电话支持，4小时内到达现场。到达现场后的4小时内解决问题。</w:t>
            </w:r>
          </w:p>
          <w:p>
            <w:pPr>
              <w:pStyle w:val="3"/>
              <w:numPr>
                <w:ilvl w:val="0"/>
                <w:numId w:val="20"/>
              </w:numPr>
              <w:spacing w:after="0"/>
              <w:rPr>
                <w:color w:val="000000" w:themeColor="text1"/>
                <w:szCs w:val="21"/>
                <w14:textFill>
                  <w14:solidFill>
                    <w14:schemeClr w14:val="tx1"/>
                  </w14:solidFill>
                </w14:textFill>
              </w:rPr>
            </w:pPr>
            <w:r>
              <w:rPr>
                <w:color w:val="000000" w:themeColor="text1"/>
                <w:szCs w:val="21"/>
                <w14:textFill>
                  <w14:solidFill>
                    <w14:schemeClr w14:val="tx1"/>
                  </w14:solidFill>
                </w14:textFill>
              </w:rPr>
              <w:t>二级故障：系统性能有一定下降，业务系统受到干扰</w:t>
            </w:r>
            <w:r>
              <w:rPr>
                <w:rFonts w:hint="eastAsia"/>
                <w:color w:val="000000" w:themeColor="text1"/>
                <w:szCs w:val="21"/>
                <w14:textFill>
                  <w14:solidFill>
                    <w14:schemeClr w14:val="tx1"/>
                  </w14:solidFill>
                </w14:textFill>
              </w:rPr>
              <w:t>。30分钟内提供电话支持，6小时内到达现场。到达现场后的8小时内解决问题。</w:t>
            </w:r>
          </w:p>
          <w:p>
            <w:pPr>
              <w:numPr>
                <w:ilvl w:val="0"/>
                <w:numId w:val="20"/>
              </w:numPr>
              <w:rPr>
                <w:color w:val="000000" w:themeColor="text1"/>
                <w:szCs w:val="21"/>
                <w14:textFill>
                  <w14:solidFill>
                    <w14:schemeClr w14:val="tx1"/>
                  </w14:solidFill>
                </w14:textFill>
              </w:rPr>
            </w:pPr>
            <w:r>
              <w:rPr>
                <w:color w:val="000000" w:themeColor="text1"/>
                <w:szCs w:val="21"/>
                <w14:textFill>
                  <w14:solidFill>
                    <w14:schemeClr w14:val="tx1"/>
                  </w14:solidFill>
                </w14:textFill>
              </w:rPr>
              <w:t>三级故障：系统可以运行，但系统有不明原因的报错</w:t>
            </w:r>
            <w:r>
              <w:rPr>
                <w:rFonts w:hint="eastAsia"/>
                <w:color w:val="000000" w:themeColor="text1"/>
                <w:szCs w:val="21"/>
                <w14:textFill>
                  <w14:solidFill>
                    <w14:schemeClr w14:val="tx1"/>
                  </w14:solidFill>
                </w14:textFill>
              </w:rPr>
              <w:t>。30分钟内提供电话支持，8小时内到达现场。到达现场后的24小时内。</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在保修期结束前，须由项目实施方和客户方代表对系统进行一次全面检查，任何缺陷必须由投标人负责修理，在修理之后，项目实施方应将缺陷原因、修理内容、完成修理及恢复正常的时间和日期等报告给买方。</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720" w:type="dxa"/>
            <w:vMerge w:val="restart"/>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在线文档预览与编辑</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在线文档预览</w:t>
            </w: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基于java开发，解析Office 软件常用文件格式，提供将Office软件常用文件格式转换为HTMl、PDF格式的功能，排版基本不变，实现常用格式文档的阅读等服务，支持压缩包格式（RAR、Zip）的预览，支持数字加解密功能，具体支持的格式如下：</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(1)doc、docx格式，转换为Html、PDF格式</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(2)xls、xlsx格式，转换为Html、PDF格式</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(3)ppt、pptx格式，转换为Html、PDF格式</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(4)PDF格式，转换为html格式</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(5)WPS格式，转换为Html、PDF格式</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提供简便的API 接口，方便集成。</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color w:val="000000" w:themeColor="text1"/>
                <w:szCs w:val="21"/>
                <w14:textFill>
                  <w14:solidFill>
                    <w14:schemeClr w14:val="tx1"/>
                  </w14:solidFill>
                </w14:textFill>
              </w:rPr>
              <w:t>部署在服务器端，跨平台，支持windows、linux 操作系统</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提供深度水印功能，如：静态水印、动态水印</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color w:val="000000" w:themeColor="text1"/>
                <w:szCs w:val="21"/>
                <w14:textFill>
                  <w14:solidFill>
                    <w14:schemeClr w14:val="tx1"/>
                  </w14:solidFill>
                </w14:textFill>
              </w:rPr>
              <w:t>服务器端及客户端均无需安装任何插件和Office软件</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保证产品合法性、真实性、无病毒，以及保证产品为原创资源，不存在在任何侵犯第三方的版权、商标权、专利权或商业秘密，同时也不侵犯任何第三方的信息专有权及其他合法权益。</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1"/>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产品兼容微软Office、wps。</w:t>
            </w:r>
          </w:p>
        </w:tc>
        <w:tc>
          <w:tcPr>
            <w:tcW w:w="567" w:type="dxa"/>
            <w:vAlign w:val="center"/>
          </w:tcPr>
          <w:p>
            <w:pPr>
              <w:spacing w:line="360" w:lineRule="exact"/>
              <w:jc w:val="center"/>
              <w:rPr>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在线文档编辑</w:t>
            </w: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云端文档在线编辑，服务器端及客户端均无需安装任何插件和 Office 软件</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多种部署方式、自动化部署，支持集群部署</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软件符合 office 操作习惯，随 office 版本升级更新，实现浏览器在线编辑、预览、打印word、excel 等文件</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软件支持在私有云服务器部署</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WEB 服务支持 GOOGLE、360、sougo、IE、火狐等主流浏览器</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具有强大的兼容性和跨平台能力，支持mac、ios、android、小程序等</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高质量的文档兼容性，版本统一</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与用户系统无缝衔接，与 OA、文档管理、邮箱、网盘等各种用户系统进行无缝结合</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在线显示、编辑、保存文档</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文件编辑后可输出 PDF 格式</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 Word 跟踪用户修改痕迹功能，多端编辑留痕</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根据应用场景需求限制编辑</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 Word、Excel、ppt 批注功能</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支持水印、书签等功能</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支持只读方式显示 Word、Excel、PowerPoint 文档</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多人打开文档时仅当前修改人可编辑文档，其他用户提示文档锁定。新版本将支持多人协同编辑</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单个或批量根据数据库数据动态生成规范格式的文档</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单元格可触发网页对话框辅助用户输入数据</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可与系统对接，支持批量打印文档</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EXCEL 单元格支持文本与公式编辑</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EXCEL 设置单元格只读，支持按照 EXCEL 操作在线调整表格格式</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单元格插入图片，并可设置图片大小</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 PPT 动画展示</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支持套红功能</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color w:val="000000" w:themeColor="text1"/>
                <w:szCs w:val="21"/>
                <w14:textFill>
                  <w14:solidFill>
                    <w14:schemeClr w14:val="tx1"/>
                  </w14:solidFill>
                </w14:textFill>
              </w:rPr>
              <w:t>excel支持填充选项</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兼容微软office、wps</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服务要求</w:t>
            </w:r>
          </w:p>
        </w:tc>
        <w:tc>
          <w:tcPr>
            <w:tcW w:w="6956" w:type="dxa"/>
            <w:vAlign w:val="center"/>
          </w:tcPr>
          <w:p>
            <w:pPr>
              <w:numPr>
                <w:ilvl w:val="0"/>
                <w:numId w:val="22"/>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二年服务期，服务期内提供的内容如下：</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(1)提供集成支持</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(2)日常维护和使用管理</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(3)技术问题的根源分析与诊断、及解决</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(4)提供基于互联网的电子化支持，包括 email、qq、远程服务</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(5)提供 5X8 小时 800 免费电话支持服务</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虚拟化服务器系统</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设备配置与性能</w:t>
            </w: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服务器高度≥2U机架式，标配原厂导轨</w:t>
            </w:r>
          </w:p>
        </w:tc>
        <w:tc>
          <w:tcPr>
            <w:tcW w:w="567" w:type="dxa"/>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2颗英特尔®至强®可扩展 CPU核心数≥16 主频≥2.1GHz</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内存≥64GB DDR4 2933内存</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内存可扩展数量≥24个内存槽位，最大支持3TB内存</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硬盘≥3块2.4TB </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硬盘扩展性≥8个2.5寸热插拔硬盘槽位</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阵列控制器：1张Raid阵列卡，配置≥2GB缓存，含掉电保护模块，支持直通模式，支持RAID0/1/10/5/6/50/60等raid级别</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IO扩展插槽≥10个标准PCIE3.0插槽</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网卡供≥1个网卡专用插槽（不占用PCIE扩展槽），可选配千兆或万兆网卡</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冗余电源2个≥500w白金版热插拔冗余电源</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安全性：服务器支持配置标准PCIe模块，标准PCIe模块可提供流量控制，防病毒，入侵检测等安全功能，且支持国密VPN算法，可进一步提升服务器整体安全性。提供彩页，技术白皮书或官网截图等证明材料并加盖原厂商鲜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3"/>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维保：提供服务器硬件3年原厂保修服务，首次安装服务。提供原厂承诺函并加盖原厂鲜章证明</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color w:val="000000" w:themeColor="text1"/>
                <w:szCs w:val="21"/>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虚拟化管理系统标准版软件</w:t>
            </w:r>
          </w:p>
        </w:tc>
        <w:tc>
          <w:tcPr>
            <w:tcW w:w="6956" w:type="dxa"/>
            <w:vAlign w:val="center"/>
          </w:tcPr>
          <w:p>
            <w:pPr>
              <w:numPr>
                <w:ilvl w:val="0"/>
                <w:numId w:val="2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配置要求：配置2颗虚拟化软件的CPU授权许可</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硬件平台的监控：对硬件平台进行监控，电源，风扇，温感，CPU、内存、硬盘等硬件平台信息</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基本要求：虚拟机可以实现物理机的全部功能，如具有自己的资源（内存、CPU、网卡、存储），可以指定单独的IP地址、MAC地址等</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4"/>
              </w:numPr>
              <w:spacing w:line="360" w:lineRule="exact"/>
              <w:ind w:firstLine="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功能性要求：支持虚拟机桌面预览功能，无需登录虚拟机即可在虚拟化管理平台上看到虚拟机当前桌面的状态，提供具有CNAS/CMA资质的第三方机构认证的测试报告截图</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万兆交换机</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设备配置与性能</w:t>
            </w: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1.交换容量≥2.56Tbps，包转发率≥220Mpps，提供官网链接及截图证明;</w:t>
            </w:r>
          </w:p>
        </w:tc>
        <w:tc>
          <w:tcPr>
            <w:tcW w:w="567" w:type="dxa"/>
            <w:vAlign w:val="center"/>
          </w:tcPr>
          <w:p>
            <w:pPr>
              <w:spacing w:line="360" w:lineRule="exact"/>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2.单台配置万兆SFP+光端口≥14个、千兆电接口≥8个</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提供工信部入网证复印件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产品制造厂商须符合电信行业质量管理体系标准，以保障产品系统的高可靠性，通过TL9000电信行业质量管理体系认证，提供证书复印件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r>
              <w:rPr>
                <w:rFonts w:hint="eastAsia"/>
                <w:color w:val="000000" w:themeColor="text1"/>
                <w:szCs w:val="21"/>
                <w14:textFill>
                  <w14:solidFill>
                    <w14:schemeClr w14:val="tx1"/>
                  </w14:solidFill>
                </w14:textFill>
              </w:rPr>
              <w:t>为保障产品品质，产品生产厂商需具备科学、系统的知识管理体系，通过知识产权管理体系认证，提供证书复印件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为体现产品生产厂商的软件研发和管理实力，生产厂商需获得CMMI5级软件能力成熟度集成模型认证，提供证书复印件</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11.为保障产品售后服务，产品制造商须具备完善的售后服务体系，提供设备制造厂商售后服务体系完善程度认证证明文件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r>
              <w:rPr>
                <w:rFonts w:hint="eastAsia"/>
                <w:color w:val="000000" w:themeColor="text1"/>
                <w:szCs w:val="21"/>
                <w14:textFill>
                  <w14:solidFill>
                    <w14:schemeClr w14:val="tx1"/>
                  </w14:solidFill>
                </w14:textFill>
              </w:rPr>
              <w:t>为响应国家低碳的要求，投标产品生产厂商在产品设计、研发、生产、过程需采取有效减少温室气体排放的措施，符合国家温室气体排放和清除的量化和报告的规范，通过ISO 14064温室气体核查，提供证书复印件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tabs>
                <w:tab w:val="left" w:pos="2180"/>
              </w:tabs>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13.为保护机房工作的维护人员身体健康，本次产品制造厂商需通过QC08000有害物质过程管理体系认证，提供证书复印件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上网行为管理</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设备配置与性能</w:t>
            </w: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网络层吞吐量≥</w:t>
            </w:r>
            <w:r>
              <w:rPr>
                <w:color w:val="000000" w:themeColor="text1"/>
                <w:szCs w:val="21"/>
                <w14:textFill>
                  <w14:solidFill>
                    <w14:schemeClr w14:val="tx1"/>
                  </w14:solidFill>
                </w14:textFill>
              </w:rPr>
              <w:t>5.8</w:t>
            </w:r>
            <w:r>
              <w:rPr>
                <w:rFonts w:hint="eastAsia"/>
                <w:color w:val="000000" w:themeColor="text1"/>
                <w:szCs w:val="21"/>
                <w14:textFill>
                  <w14:solidFill>
                    <w14:schemeClr w14:val="tx1"/>
                  </w14:solidFill>
                </w14:textFill>
              </w:rPr>
              <w:t>Gb，应用层吞吐量≥</w:t>
            </w:r>
            <w:r>
              <w:rPr>
                <w:color w:val="000000" w:themeColor="text1"/>
                <w:szCs w:val="21"/>
                <w14:textFill>
                  <w14:solidFill>
                    <w14:schemeClr w14:val="tx1"/>
                  </w14:solidFill>
                </w14:textFill>
              </w:rPr>
              <w:t>750M</w:t>
            </w:r>
            <w:r>
              <w:rPr>
                <w:rFonts w:hint="eastAsia"/>
                <w:color w:val="000000" w:themeColor="text1"/>
                <w:szCs w:val="21"/>
                <w14:textFill>
                  <w14:solidFill>
                    <w14:schemeClr w14:val="tx1"/>
                  </w14:solidFill>
                </w14:textFill>
              </w:rPr>
              <w:t>，支持用户数≥</w:t>
            </w: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000，最大并发连接数≥</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0万</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千兆电口≥6个，千兆光口≥2个，硬盘≥1</w:t>
            </w:r>
            <w:r>
              <w:rPr>
                <w:color w:val="000000" w:themeColor="text1"/>
                <w:szCs w:val="21"/>
                <w14:textFill>
                  <w14:solidFill>
                    <w14:schemeClr w14:val="tx1"/>
                  </w14:solidFill>
                </w14:textFill>
              </w:rPr>
              <w:t>T SSD;</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具备防间谍侵犯方法，提供软件著作权或相关专利复印件。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支持图形化查看当前内网IP使用情况，帮助管理员减少人工维护IP表的工作量；</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应采购方使用场景，设备须支持二维码认证功能，管理员扫描访客的二维码后对其网络访问授权（提供产品界面截图并加盖厂商公章）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支持检查终端是否连接非法WIFI（可设置合法WIFI白名单），对不满足检查要求的终端强制断网，支持向管理员告警，并弹窗提示用户;</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20" w:type="dxa"/>
            <w:vMerge w:val="continue"/>
            <w:vAlign w:val="center"/>
          </w:tcPr>
          <w:p>
            <w:pPr>
              <w:spacing w:line="360" w:lineRule="exact"/>
              <w:jc w:val="center"/>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1、支持记录QQ、TIM、微信、MSN等IM聊天行为和聊天内容；</w:t>
            </w:r>
          </w:p>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2、支持移动APP（IOS和android）审计（如论坛类、微博类、新闻评论类等）</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20" w:type="dxa"/>
            <w:vMerge w:val="continue"/>
            <w:vAlign w:val="center"/>
          </w:tcPr>
          <w:p>
            <w:pPr>
              <w:spacing w:line="360" w:lineRule="exact"/>
              <w:jc w:val="center"/>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无需安装客户端，通过流量状况检查10款以上主流杀毒软件的运行情况，对不满足检查要求的终端可重定向页面修复;（提供产品界面截图并加盖厂商公章）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20" w:type="dxa"/>
            <w:vMerge w:val="continue"/>
            <w:vAlign w:val="center"/>
          </w:tcPr>
          <w:p>
            <w:pPr>
              <w:spacing w:line="360" w:lineRule="exact"/>
              <w:jc w:val="center"/>
              <w:rPr>
                <w:color w:val="000000" w:themeColor="text1"/>
                <w:szCs w:val="21"/>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为保障采购的产品技术可靠性，生产厂商须为《信息安全技术信息系统安全审计产品技术要求和测试评价方法》的主要起草单位，提供相关证明材料并加盖厂商公章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bookmarkStart w:id="1" w:name="_GoBack"/>
            <w:r>
              <w:rPr>
                <w:rFonts w:hint="eastAsia"/>
                <w:color w:val="000000" w:themeColor="text1"/>
                <w:szCs w:val="21"/>
                <w14:textFill>
                  <w14:solidFill>
                    <w14:schemeClr w14:val="tx1"/>
                  </w14:solidFill>
                </w14:textFill>
              </w:rPr>
              <w:t>6</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出口下一代防火墙</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设备配置与性能</w:t>
            </w: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产品采用多核并行处理架构，接口：≥6千兆电口 ≥2千兆光口SFP</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硬盘≥6</w:t>
            </w:r>
            <w:r>
              <w:rPr>
                <w:color w:val="000000" w:themeColor="text1"/>
                <w:szCs w:val="21"/>
                <w14:textFill>
                  <w14:solidFill>
                    <w14:schemeClr w14:val="tx1"/>
                  </w14:solidFill>
                </w14:textFill>
              </w:rPr>
              <w:t>4G SSD;</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网络层吞吐量≥12G，应用层吞吐量≥4.4G，并发连接数≥200万，每秒新建连接数≥8万</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产品支持CC攻击防护功能，为保障勒CC攻击的检测效果，所投产品必须提供具备CMA认证的第三方权威机构关于“CC攻击防护”功能项的产品检测报告并加盖原厂公章。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具备网端云协同联动功能，提供第三方权威机构关于“网端云协同联动”产品功能检测报告并加盖原厂公章。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支持TearDrop 攻击、IP数据块分片传输、Land攻击、Smurf攻击、WinNuke攻击、超大ICMP数据攻击等异常报文攻击防护，支持IP协议异常报文和TCP协议异常报文攻击防护。</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具备文件过滤功能，可对视频文件、音频文件、图片文件、文本文件、可执行文件、驱动文件等类型文件进行安全过滤。</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要求所投产品的生产厂商为国家信息安全漏洞共享平台(CNVD)技术组和用户组成员，提供有效技术组及用户组网页查询链接及截图，技术组和用户组须同时满足。</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产品预定义漏洞特征数量超过7</w:t>
            </w:r>
            <w:r>
              <w:rPr>
                <w:color w:val="000000" w:themeColor="text1"/>
                <w:szCs w:val="21"/>
                <w14:textFill>
                  <w14:solidFill>
                    <w14:schemeClr w14:val="tx1"/>
                  </w14:solidFill>
                </w14:textFill>
              </w:rPr>
              <w:t>000</w:t>
            </w:r>
            <w:r>
              <w:rPr>
                <w:rFonts w:hint="eastAsia"/>
                <w:color w:val="000000" w:themeColor="text1"/>
                <w:szCs w:val="21"/>
                <w14:textFill>
                  <w14:solidFill>
                    <w14:schemeClr w14:val="tx1"/>
                  </w14:solidFill>
                </w14:textFill>
              </w:rPr>
              <w:t>种，支持在产品漏洞特征库中以漏洞名称、漏洞ID、漏洞CVE标识、危险等级和漏洞描述等条件快速查询特定漏洞特征信息，支持用户自定义IPS规则。</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为保障网络安全整体防护效果，病毒绕过防火墙也能在终端侧进行防护，产品须支持与终端安全软件联动管理，在防火墙产品完成终端安全策略设置和内网终端安全软件的统一管理。</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应对现有勒索病毒趋势，产品须支持勒索病毒检测与防御功能，为保障勒索病毒的防御效果，所投产品必须提供具备CMA认证的第三方权威机构关于“勒索软件通信防护”功能项的产品检测报告。</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数据中心下一代防火墙</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配置与性能</w:t>
            </w: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产品采用多核并行处理架构，接口：≥6千兆电口 ≥2万兆光口SFP+</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硬盘≥128</w:t>
            </w:r>
            <w:r>
              <w:rPr>
                <w:color w:val="000000" w:themeColor="text1"/>
                <w:szCs w:val="21"/>
                <w14:textFill>
                  <w14:solidFill>
                    <w14:schemeClr w14:val="tx1"/>
                  </w14:solidFill>
                </w14:textFill>
              </w:rPr>
              <w:t>G SSD;</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网络层吞吐量≥20G，应用层吞吐量≥8G，并发连接数≥220万，每秒新建连接数≥15万</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产品支持管理员双因素认证功能，用户通过用户名/密码和Key等不同方式登陆产品管理界面。</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投产品须支持基于地区维度设置流控策略，实现多区域流量批量快速管控功能。所投产品必须提供具备中国国家认证认可监督管理委员会认证机构关于“国家的流量管理”功能项的产品检测报告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产品支持CC攻击防护功能，为保障勒CC攻击的检测效果，所投产品必须提供具备CMA认证的第三方权威机构关于“CC攻击防护”功能项的产品检测报告并加盖原厂公章。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支持TearDrop 攻击、IP数据块分片传输、Land攻击、Smurf攻击、WinNuke攻击、超大ICMP数据攻击等异常报文攻击防护，支持IP协议异常报文和TCP协议异常报文攻击防护。</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产品支持策略生命周期管理功能，支持对安全策略修改的时间、原因、变更类型进行统一管理，便于策略的运维与管理。</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产品支持对不少于9000种应用的识别和控制，应用类型包括游戏、购物、图书百科、工作招聘、P2P下载、聊天工具、旅游出行、股票软件等类型应用进行检测与控制。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为确保安全联动性，所投防火墙需与终端杀毒、堡垒机设备、日志审计设备为同一品牌</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要求所投产品具备中国网络安全审查技术与认证中心颁发的的IT产品信息安全认证证书EAL4增强级证书，（须提供有效证书复印件并附带证书查询链接及截图并加盖厂商公章）。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产品支持与终端安全软件联动管理，在防火墙产品完成终端安全策略设置和内网终端安全软件的统一管理。（需提供产品功能截图证明并加盖原厂公章）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终端检测与响应</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配置与性能</w:t>
            </w: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产品是软件形态；包含平台和主机Agent软件。</w:t>
            </w:r>
          </w:p>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Agent软件支持32位和64位的Windows系统和Linux系统，适用于Vmware、华为云、华三云、阿里云、腾讯云等国内主流云平台的主机；</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最大支持管控EDR客户端数量：纯内网场景或者2000点以上。</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支持Vmware、Ctrix、Hyper-V、华为云、华三云、阿里云、腾讯云等国内主流云平台的虚拟机防护，并可在同一个管理平台进行统一管理。</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支持热点安全事件动态更新和展示及全网终端已发生的热点安全事件及其数量；</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具备基于多维度轻量级的无特征检测技术，多引擎协同工作，包括：基于 AI 技术的自研引擎、基于家族基因分析的特征检测引擎、基于虚拟执行和操作系统环境仿真技术的行为引擎、基于大数据分析平台的云查引擎。（提供相关功能截图并加盖生厂商公章）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基于勒索病毒攻击过程，建立多维度立体防护机制，提供事前入侵防御-事中反加密-事后检测响应的完整防护体系，展示勒索病毒处置情况，对勒索病毒及变种实现专门有效防御</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投报价产品具备基于本地缓存信誉检测与全网信誉检测，构建企业全网信誉库的检测引擎，做到企业内网一台威胁，全网感知并进行针对性查杀，支持处理病毒时选择是否在其它终端上同步处理有效提升查杀效率，减少终端资源开销（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所投报价产品持对常用压缩文件的查杀，支持压缩文件查杀层级进行策略配置，最大可配置检查10层压缩文件（须提供国家认可的第三方检测机构出具的检测报告的彩色影印件并加盖产品制造商公章）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所投报价产品支持可以对全网终端进行统一下发基本策略(终端密码保护策略、资产登记策略、终端数据采集策略等)、病毒查杀策略(定时查杀、 查杀扫描配置、病毒库升级等)、实时防护策略、安全 加固策略(服务器加固防护、远程登录保护等)、信任名单策略、漏洞修复策略、 违规外联策略</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投报价产品支持将终端安全软件客户端检测出来的恶意文件事件、暴力破解事件、微隔离事件的日志上报到同厂商安全态势感知平台，安全态势感知平台进行分析和展示；支持管理员在同厂商的安全感知平台管理界面下发一键隔离指令；支持管理员在同厂商的安全感知平台管理界面下发快速查杀任务，并查看任务状态， 结果并进行处置（须提供国家认可的第三方检测机构出具的检测报告的彩色影印件并加盖产品制造商公章）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8"/>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支持与本次投标的防火墙产品平台对接，支持在防火墙管理界面下发快速查杀任务，并查看任务状态、结果并进行处置，支持在管理平台查询和统计联动信息，须与防火墙为同一品牌。</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安全感知管理平台一体机</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配置与性能</w:t>
            </w: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内存大小≥16G，硬盘容量≥4T SATA（须提供证明文件并加盖公章）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电源：单电源，接口≥6千兆电口，≥2万兆光口SFP+（须提供证明文件并加盖公章）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吞吐性能≥</w:t>
            </w:r>
            <w:r>
              <w:rPr>
                <w:color w:val="000000" w:themeColor="text1"/>
                <w:szCs w:val="21"/>
                <w14:textFill>
                  <w14:solidFill>
                    <w14:schemeClr w14:val="tx1"/>
                  </w14:solidFill>
                </w14:textFill>
              </w:rPr>
              <w:t>600M</w:t>
            </w:r>
            <w:r>
              <w:rPr>
                <w:rFonts w:hint="eastAsia"/>
                <w:color w:val="000000" w:themeColor="text1"/>
                <w:szCs w:val="21"/>
                <w14:textFill>
                  <w14:solidFill>
                    <w14:schemeClr w14:val="tx1"/>
                  </w14:solidFill>
                </w14:textFill>
              </w:rPr>
              <w:t>bps（须提供证明文件并加盖公章）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旁路部署，支持探针同时接入多个镜像口，每个口相互独立不影响。</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基于审计的流量元数据，利用机器学习、人工智能、威胁情报、沙盒检测、特征分析等方法进行威胁检测的整个过程。同时，能以安全事件视角和服务器/终端视角直观的看清内网安全状况。</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支持3D地球大屏展示网络攻击态势，包括攻击次数、遭受攻击资产组、攻击源地址、攻击源IP、攻击手段排行、遭受攻击服务器排行，支持境外、境内切换。</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等保管理功能,等保管理系统模块具备自定义基础信息、定级、备案、差距分析、整改、测评、监督检查等功能，为保障功能有效性及专业性。（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支持展示CPU、内存、磁盘利用率进行实时监控，同时支持对核心的资源占用率进行实时分析。</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支持对近期网络安全行业中发生的热点流行事件进行原理介绍及概览展示，通过该功能，快速感知当前网络是否感染热点安全事件。（须提供证明文件并加盖公章）</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对勒索病毒的安全告警做专项性分析，比如中了勒索病毒的风险主机分布、威胁趋势分析，将发生的所有安全事件默认按照处置状态，威胁等级，确定性等级，攻击结果、事件类型等维度进行筛选展示，并结合攻击阶段、事件统计和事件趋势等进行统计和显示、可实时监控发生的安全事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对隐蔽隧道的告警做专项性分析，将发生的所有安全事件默认按照处置状态，威胁等级，确定性等级，攻击结果、事件类型等维度进行筛选展示，并结合攻击阶段、事件统计和事件趋势等进行统计和显示、可实时监控发生的安全事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支持对邮件威胁做专项性分析（须提供国家认可的第三方检测机构出具的检测报告的彩色影印件并加盖产品制造商公章）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针对网站威胁的安全告警做专项性分析。将发生的所有安全事件默认按照处置状态，威胁等级，确定性等级，攻击结果、事件类型等维度进行筛选展示，并结合攻击阶段、事件统计和事件趋势等进行统计和显示、可实时监控发生的安全事件，能复制攻击IP、XFF代理，并展示事件域名、http状态码辅助进行事件分析。</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支持文件威胁分析，可展示文件分析过程、文件检测趋势、恶意文件TOP5；支持恶意文件的详情分析，包括支持记录恶意文件感染的主机、所属IP、文件名、病毒名称、传输协议等；支持导出文件威胁分析结果</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支持与本次所投出口防火墙进行联动响应，支持系统下发安全策略到防火墙上，阻断攻击流量。</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29"/>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支持快捷菜单悬浮控件，平台全部功能可根据使用习惯自定义添加到快捷控件，方便使用，提高运维工作效率。（须提供证明文件并加盖公章）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日志审计</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配置与功能</w:t>
            </w: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性能参数：包含主机审计许可证书数量≥50，最大可扩展审计主机许可数≥150，可用存储量≥2TB（RAID1 模式），平均每秒处理日志数（eps）最大性能≥1200。</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硬件参数：规格：2U，内存大小≥16G，硬盘容量≥2T SATA*2，接口：≥6千兆电口 ≥2万兆光口SFP+。</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支持主动、被动相结合的数据采集方式，支持通过Agent采集日志数据，支持通过syslog、SNMP Trap、JDBC、WMI、webservice、FTP、文件\文件夹读取、Kafka(截图证明)等多种方式完成日志收集；</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支持通过正则、分隔符、json、xml的可视方式进行自定义规则解析，支持对解析结果字段的新增、合并、映射。（需提供截图证明并加盖原厂商公章）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支持单条事件进行展开，显示事件详细信息和事件原始信息，支持事件详情中任意字段作为查询条件无限制进行二次检索分析。</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支持对IPv4/ipv6对象的自动发现功能，对自动发现的设备可以修改、删除或转为资产</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支持接入TLS加密方式的日志，支持对日志传输状态、最近同步时间进行监控，可统计每个日志源的今日传输量和传输总量。</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通配符、范围搜索、字段等多种输入方式、搜索框模糊搜索、指定语段进行语法搜索；可根据时间、严重等级等进行组合查询；可根据具体设备、来源/目的所属（可具体到外网、内网资产等）、IP地址、特征ID、URL进行具体条件搜索；支持可设置定时刷新频率，根据刷新时间显示实时接入日志事件；（需提供截图证明并加盖原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支持个性化定制，支持全系统更换logo与系统名称，支持一键恢复默认。</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为保障等保技术要求，生产厂商具有中国信息安全测评中心颁发的信息安全服务资质（安全工程类一级）</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日志进行归一化操作后，对日志等级进行映射，根据不同日志源统计不同等级下的日志数量</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支持拓扑管理，能够基于拓扑图的资产相关数据信息快速查看资产评分、安全事件分布、告警分布等，支持通过拓扑下钻查看对应资产的关联事件、审计事件、日志数量。（需提供截图证明并加盖原厂商公章）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数据库审计</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配置与性能</w:t>
            </w: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性能参数：吞吐量≥2Gbps，SQL处理性能≥30000条SQL/s，日志检索性能≥500000条。</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硬件参数：硬盘容量≥2TB SATA，接口：≥6千兆电口，≥2万兆光口SFP+。</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考虑招标单位办公环境，须具备自动生成及自动定期推送报表给相关管理人员的能力。（须提供国家认可的第三方检测机构出具的检测报告的彩色影印件并加盖产品制造商公章）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具备数据库信息窃取封锁能力。</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采用B/S管理方式，无需在被审计系统上安装任何代理；无需单独的数据中心，一台设备完成所有工作；提供图形用户界面，以简单、直观的方式完成策略配置、警报查询、攻击响应、集中管理等各种任务；</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支持基于SQL命令的webshell检测</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考虑招标单位办公环境，须具备违规登陆风险识别功能。（须提供国家认可的第三方检测机构出具的检测报告的彩色影印件并加盖产品制造商公章）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精细化日志秒级查询</w:t>
            </w:r>
          </w:p>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通过SQL串模式抽取保障磁盘IO的读写性能；分离式存储SQL语句保障数据审计速度快。</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B级日志秒级查询、支持指定源IP、时间日期、客户端程序、业务系统、数据库用户、操作类型等精细日志查询、支持操作类型精细化日志查询、支持风险级别排行统计查询、支持数据库条件的统计查询、支持统计趋势查询分析、支持风险级别查询分析、支持通过多SQL语句的统计查询、支持统计分析下钻、支持业务系统元素统计查询。（需提供截图证明并加盖原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1"/>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内置大量SQL安全规则</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括如下：导出方式窃取、备份方式窃取、导出可执行程序、备份方式写入恶意代码、系统命令执行、读注册表、写注册表、暴露系统信息、高权存储过程、执行本地代码、常见运维工具使用grant、业务系统使用grant、客户端sp_addrolemember提权、web端sp_addrolemember提权、查询内置敏感表、篡改内置敏感表等（需提供截图证明并加盖原厂商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720" w:type="dxa"/>
            <w:vMerge w:val="restart"/>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漏洞扫描系统</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配置与性能</w:t>
            </w:r>
          </w:p>
        </w:tc>
        <w:tc>
          <w:tcPr>
            <w:tcW w:w="6956" w:type="dxa"/>
            <w:vAlign w:val="center"/>
          </w:tcPr>
          <w:p>
            <w:pPr>
              <w:numPr>
                <w:ilvl w:val="0"/>
                <w:numId w:val="32"/>
              </w:numPr>
              <w:spacing w:line="360" w:lineRule="exact"/>
              <w:rPr>
                <w:rFonts w:ascii="宋体" w:hAnsi="宋体" w:cs="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采用有自主知识产权的安全操作系统，采用B/S设计架构，并采用SSL加密通信方式，无须安装客户端，用户可通过浏览器远程方便的对产品进行管理。</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授权：系统漏扫授权IP数≥100，WEB漏扫授权URL数≥20；性能指标：主机漏扫最大并发IP数≥75，WEB漏扫最大并发URL数≥5。</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硬件参数：硬盘容量≥2TB，接口：≥6千兆电口 ≥2千兆光口SFP。</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支持同时开启全插件系统漏洞扫描、WEB漏洞扫描、弱口令扫描、基线配置核查，扫描速度不低于1000ip/h。</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支持全局风险统计功能，通过扇形图、条状图、标签、表格等形式直观展示资产风险分布、漏洞风险等级分布、紧急漏洞、风险资产清单等信息，并可查看详情。（需提供产品功能截图证明并加盖原厂公章）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支持全局风险统计时段自定义，展示近3个月、6个月、1年或自定义统计区间的风险分布和详情，时间跨度不限制。</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全面扫描、资产发现、系统漏洞扫描、弱口令扫描、WEB漏洞扫描、基线配置核查六种任务类型，其中全面扫描支持系统漏洞扫描、WEB漏洞扫描、弱口令扫描同时执行。（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支持选择紧急漏洞进行单独评估，支持对新爆发的0day漏洞检测，如：Apache Solr Velocity模板 远程代码执行漏洞、phpstudy 后门发现漏洞、Jenkins Git client插件命令执行漏洞、致远 OA A8 无需认证 Getshell 漏洞、Jenkins Java反序列化远程代码执行漏洞、Weblogic反序列化专项漏洞检测、Apache Struts2远程代码执行系列漏洞、JBoss反序列化漏洞等。（需提供产品功能截图证明并加盖原厂公章）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支持从“高危”、“中危”、“低危”、“信息”四个安全级别展示漏洞风险等级的分布情况</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2"/>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提供检测结果综述分析，按照等保2.0的检测项要求，统计客户业务系统存在的不符合、部分符合、符合、待确认、不适用检测项，直观了解自身业务系统合规情况。（需提供产品功能截图证明并加盖原厂公章）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堡垒机</w:t>
            </w: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配置与性能</w:t>
            </w: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硬件参数：内存大小≥4G，硬盘容量≥2T SATA，接口：≥6千兆电口。</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可管理资源数≥50个，支持licence扩容</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支持通过协议前置机进行协议扩展，至少支持扩展KVM、Vmware、数据库、http/https、CS应用等</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支持通过动作流配置提供广泛的应用接入支持，无论被接入的资源如何设计登录动作，通过动作流配置都可以实现单点登陆和审计接入</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用户登陆认证方式须支持静态口令认证、手机动态口令认证、Usbkey（数字证书）认证、AD域认证、Radius认证等认证方式；并支持各种认证方式和静态口令组合认证（需提供产品功能截图证明并加盖原厂公章）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支持RDP安全模式（RDP、NLA、TLS、ANY）设置，以适应RDP-Tcp属性中的所有功能配置，包括加密级别为客户端兼容、低、高、符合FIPS标准等加密级别（需提供产品功能截图证明并加盖原厂公章）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支持在授权基础上自定义访问审批流程，可设置一级或多级审批人，每级审批可指定通过投票数，需逐级审批通过才可最终发起运维操作</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定期变更目标设备真实口令，支持自定义口令变更周期和口令强度。口令变更方式至少支持手动指定固定口令、通过密码表生成口令、依照设备挂载的口令策略生成随机口令、依照密码策略生成同一口令等方式</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全面支持IPV6，设备自身可以配置IPV6地址供客户端访问，并且支持目标设备配置IPV6地址实现单点登陆和审计</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支持命令审批规则，用户执行高危命令时需要管理员审批后才允许执行；命令审批规则可以指定运维人员、访问设备、设备账号及命令审批人（需提供产品功能截图证明并加盖原厂公章）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3"/>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支持Windows、linux、国产麒麟系统、Android、IOS、Mac OS等客户端操作系统下的H5页面一站式运维，实现跨终端适应性BYOD（需提供产品功能截图证明并加盖原厂公章）</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w:t>
            </w:r>
          </w:p>
        </w:tc>
        <w:tc>
          <w:tcPr>
            <w:tcW w:w="720" w:type="dxa"/>
            <w:vMerge w:val="restart"/>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一体化智能机柜UPS扩容</w:t>
            </w:r>
          </w:p>
        </w:tc>
        <w:tc>
          <w:tcPr>
            <w:tcW w:w="710" w:type="dxa"/>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4"/>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为机房现有一体化智能机柜UPS电源模块（6KVA）增加65AH的电池16节，使UPS具备满足服务器和核心网络设备运行2小时的电力供应能力。</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4"/>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配套一体化智能机柜的电池箱，并进行整机重新安装调试。</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720" w:type="dxa"/>
            <w:vMerge w:val="restart"/>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数据中心交流电源浪涌保护</w:t>
            </w:r>
          </w:p>
        </w:tc>
        <w:tc>
          <w:tcPr>
            <w:tcW w:w="710" w:type="dxa"/>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支持通流量确保满足数据中心用电需求；具有最新灭弧技术；具有温控保护电路，内置热保护；</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5"/>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具有电源状态指示，指示浪涌保护器工作状态；</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4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w:t>
            </w:r>
          </w:p>
        </w:tc>
        <w:tc>
          <w:tcPr>
            <w:tcW w:w="720" w:type="dxa"/>
            <w:vMerge w:val="restart"/>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集成与配套</w:t>
            </w:r>
          </w:p>
        </w:tc>
        <w:tc>
          <w:tcPr>
            <w:tcW w:w="710" w:type="dxa"/>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配件辅材</w:t>
            </w:r>
          </w:p>
        </w:tc>
        <w:tc>
          <w:tcPr>
            <w:tcW w:w="6956"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涉及设备安装所需机房内的电源线、网线、光缆尾纤、信号线等线材，以及光模块、标签、扎带等配件与辅材</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restart"/>
            <w:vAlign w:val="center"/>
          </w:tcPr>
          <w:p>
            <w:pPr>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实施与服务</w:t>
            </w:r>
          </w:p>
        </w:tc>
        <w:tc>
          <w:tcPr>
            <w:tcW w:w="6956" w:type="dxa"/>
            <w:vAlign w:val="center"/>
          </w:tcPr>
          <w:p>
            <w:pPr>
              <w:numPr>
                <w:ilvl w:val="0"/>
                <w:numId w:val="3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设备与软件系统的安装、调试</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对现有数据中心机房的排水系统进行整改，达到网络等保测评公司的专业要求。</w:t>
            </w:r>
          </w:p>
        </w:tc>
        <w:tc>
          <w:tcPr>
            <w:tcW w:w="567" w:type="dxa"/>
            <w:vAlign w:val="center"/>
          </w:tcPr>
          <w:p>
            <w:pPr>
              <w:spacing w:line="360" w:lineRule="exact"/>
              <w:jc w:val="center"/>
              <w:rPr>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6"/>
              </w:num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OA</w:t>
            </w:r>
            <w:r>
              <w:rPr>
                <w:rFonts w:hint="eastAsia"/>
                <w:color w:val="000000" w:themeColor="text1"/>
                <w:szCs w:val="21"/>
                <w14:textFill>
                  <w14:solidFill>
                    <w14:schemeClr w14:val="tx1"/>
                  </w14:solidFill>
                </w14:textFill>
              </w:rPr>
              <w:t>办公软件系统的使用需求调研、业务流程数据初始化配置，以及整个系统的使用培训（提供投标人承诺函以及</w:t>
            </w:r>
            <w:r>
              <w:rPr>
                <w:color w:val="000000" w:themeColor="text1"/>
                <w:szCs w:val="21"/>
                <w14:textFill>
                  <w14:solidFill>
                    <w14:schemeClr w14:val="tx1"/>
                  </w14:solidFill>
                </w14:textFill>
              </w:rPr>
              <w:t>OA</w:t>
            </w:r>
            <w:r>
              <w:rPr>
                <w:rFonts w:hint="eastAsia"/>
                <w:color w:val="000000" w:themeColor="text1"/>
                <w:szCs w:val="21"/>
                <w14:textFill>
                  <w14:solidFill>
                    <w14:schemeClr w14:val="tx1"/>
                  </w14:solidFill>
                </w14:textFill>
              </w:rPr>
              <w:t>办公系统厂家承诺函）</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提供两年的项目整体售后服务（投标人提供承诺函）</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6"/>
              </w:num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OA</w:t>
            </w:r>
            <w:r>
              <w:rPr>
                <w:rFonts w:hint="eastAsia"/>
                <w:color w:val="000000" w:themeColor="text1"/>
                <w:szCs w:val="21"/>
                <w14:textFill>
                  <w14:solidFill>
                    <w14:schemeClr w14:val="tx1"/>
                  </w14:solidFill>
                </w14:textFill>
              </w:rPr>
              <w:t>办公系统厂家提供关于OA系统安全相关的终身免费升级与维护服务（提供OA办公系统厂家承诺函）</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0" w:type="dxa"/>
            <w:vMerge w:val="continue"/>
            <w:vAlign w:val="center"/>
          </w:tcPr>
          <w:p>
            <w:pPr>
              <w:spacing w:line="360" w:lineRule="exact"/>
              <w:jc w:val="center"/>
              <w:rPr>
                <w:color w:val="000000" w:themeColor="text1"/>
                <w:szCs w:val="21"/>
                <w14:textFill>
                  <w14:solidFill>
                    <w14:schemeClr w14:val="tx1"/>
                  </w14:solidFill>
                </w14:textFill>
              </w:rPr>
            </w:pPr>
          </w:p>
        </w:tc>
        <w:tc>
          <w:tcPr>
            <w:tcW w:w="720" w:type="dxa"/>
            <w:vMerge w:val="continue"/>
            <w:vAlign w:val="center"/>
          </w:tcPr>
          <w:p>
            <w:pPr>
              <w:widowControl/>
              <w:jc w:val="center"/>
              <w:textAlignment w:val="center"/>
              <w:rPr>
                <w:rFonts w:ascii="宋体" w:hAnsi="宋体" w:cs="宋体"/>
                <w:color w:val="000000" w:themeColor="text1"/>
                <w:kern w:val="0"/>
                <w:szCs w:val="21"/>
                <w:lang w:bidi="ar"/>
                <w14:textFill>
                  <w14:solidFill>
                    <w14:schemeClr w14:val="tx1"/>
                  </w14:solidFill>
                </w14:textFill>
              </w:rPr>
            </w:pPr>
          </w:p>
        </w:tc>
        <w:tc>
          <w:tcPr>
            <w:tcW w:w="710" w:type="dxa"/>
            <w:vMerge w:val="continue"/>
            <w:vAlign w:val="center"/>
          </w:tcPr>
          <w:p>
            <w:pPr>
              <w:spacing w:line="360" w:lineRule="exact"/>
              <w:jc w:val="center"/>
              <w:rPr>
                <w:color w:val="000000" w:themeColor="text1"/>
                <w:szCs w:val="21"/>
                <w14:textFill>
                  <w14:solidFill>
                    <w14:schemeClr w14:val="tx1"/>
                  </w14:solidFill>
                </w14:textFill>
              </w:rPr>
            </w:pPr>
          </w:p>
        </w:tc>
        <w:tc>
          <w:tcPr>
            <w:tcW w:w="6956" w:type="dxa"/>
            <w:vAlign w:val="center"/>
          </w:tcPr>
          <w:p>
            <w:pPr>
              <w:numPr>
                <w:ilvl w:val="0"/>
                <w:numId w:val="36"/>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投标配合业主方与第三方网络等保测评机构工作，实现整个项目成功取得三级网络等级保护认证证书。（提供投标人承诺函）</w:t>
            </w:r>
          </w:p>
        </w:tc>
        <w:tc>
          <w:tcPr>
            <w:tcW w:w="567" w:type="dxa"/>
            <w:vAlign w:val="center"/>
          </w:tcPr>
          <w:p>
            <w:pPr>
              <w:spacing w:line="360" w:lineRule="exact"/>
              <w:jc w:val="center"/>
              <w:rPr>
                <w:b/>
                <w:color w:val="000000" w:themeColor="text1"/>
                <w:szCs w:val="21"/>
                <w14:textFill>
                  <w14:solidFill>
                    <w14:schemeClr w14:val="tx1"/>
                  </w14:solidFill>
                </w14:textFill>
              </w:rPr>
            </w:pPr>
            <w:r>
              <w:rPr>
                <w:rFonts w:hint="eastAsia"/>
                <w:color w:val="000000" w:themeColor="text1"/>
                <w14:textFill>
                  <w14:solidFill>
                    <w14:schemeClr w14:val="tx1"/>
                  </w14:solidFill>
                </w14:textFill>
              </w:rPr>
              <w:t>★</w:t>
            </w:r>
          </w:p>
        </w:tc>
      </w:tr>
    </w:tbl>
    <w:p>
      <w:pPr>
        <w:pStyle w:val="9"/>
        <w:spacing w:line="440" w:lineRule="exact"/>
        <w:ind w:firstLine="0" w:firstLineChars="0"/>
        <w:rPr>
          <w:rFonts w:ascii="宋体" w:hAnsi="宋体" w:cs="宋体"/>
          <w:bCs/>
          <w:color w:val="000000" w:themeColor="text1"/>
          <w:sz w:val="24"/>
          <w:szCs w:val="24"/>
          <w14:textFill>
            <w14:solidFill>
              <w14:schemeClr w14:val="tx1"/>
            </w14:solidFill>
          </w14:textFill>
        </w:rPr>
      </w:pPr>
    </w:p>
    <w:p>
      <w:pPr>
        <w:pStyle w:val="9"/>
        <w:spacing w:line="440" w:lineRule="exact"/>
        <w:ind w:left="91" w:firstLine="480"/>
        <w:rPr>
          <w:rFonts w:ascii="宋体" w:hAnsi="宋体" w:cs="宋体"/>
          <w:bCs/>
          <w:color w:val="000000" w:themeColor="text1"/>
          <w:sz w:val="24"/>
          <w:szCs w:val="24"/>
          <w14:textFill>
            <w14:solidFill>
              <w14:schemeClr w14:val="tx1"/>
            </w14:solidFill>
          </w14:textFill>
        </w:rPr>
      </w:pPr>
    </w:p>
    <w:p>
      <w:pPr>
        <w:pStyle w:val="9"/>
        <w:spacing w:line="440" w:lineRule="exact"/>
        <w:ind w:firstLine="0" w:firstLineChars="0"/>
        <w:outlineLvl w:val="1"/>
        <w:rPr>
          <w:rFonts w:ascii="宋体" w:hAnsi="宋体" w:cs="宋体"/>
          <w:b/>
          <w:color w:val="000000" w:themeColor="text1"/>
          <w:sz w:val="24"/>
          <w:szCs w:val="24"/>
          <w14:textFill>
            <w14:solidFill>
              <w14:schemeClr w14:val="tx1"/>
            </w14:solidFill>
          </w14:textFill>
        </w:rPr>
      </w:pPr>
      <w:bookmarkStart w:id="0" w:name="_Toc15078"/>
      <w:r>
        <w:rPr>
          <w:rFonts w:hint="eastAsia" w:ascii="宋体" w:hAnsi="宋体" w:cs="宋体"/>
          <w:b/>
          <w:color w:val="000000" w:themeColor="text1"/>
          <w:sz w:val="24"/>
          <w:szCs w:val="24"/>
          <w14:textFill>
            <w14:solidFill>
              <w14:schemeClr w14:val="tx1"/>
            </w14:solidFill>
          </w14:textFill>
        </w:rPr>
        <w:t>三、商务要求</w:t>
      </w:r>
      <w:bookmarkEnd w:id="0"/>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说明：</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1.下表中标注★项不响应或出现负偏离视为无效投标处理。 </w:t>
      </w:r>
    </w:p>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2.下表中标注“△”号的条款，作为“评审因素及评分标准”中的重要评分内容</w:t>
      </w:r>
    </w:p>
    <w:tbl>
      <w:tblPr>
        <w:tblStyle w:val="6"/>
        <w:tblW w:w="964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3"/>
        <w:gridCol w:w="759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9" w:hRule="atLeast"/>
        </w:trPr>
        <w:tc>
          <w:tcPr>
            <w:tcW w:w="913" w:type="dxa"/>
            <w:shd w:val="clear" w:color="auto" w:fill="D7D7D7"/>
            <w:vAlign w:val="center"/>
          </w:tcPr>
          <w:p>
            <w:pPr>
              <w:pStyle w:val="10"/>
              <w:spacing w:before="1"/>
              <w:ind w:left="16"/>
              <w:rPr>
                <w:b/>
                <w:color w:val="000000" w:themeColor="text1"/>
                <w:sz w:val="22"/>
                <w14:textFill>
                  <w14:solidFill>
                    <w14:schemeClr w14:val="tx1"/>
                  </w14:solidFill>
                </w14:textFill>
              </w:rPr>
            </w:pPr>
            <w:r>
              <w:rPr>
                <w:b/>
                <w:color w:val="000000" w:themeColor="text1"/>
                <w:sz w:val="22"/>
                <w14:textFill>
                  <w14:solidFill>
                    <w14:schemeClr w14:val="tx1"/>
                  </w14:solidFill>
                </w14:textFill>
              </w:rPr>
              <w:t>商务条款</w:t>
            </w:r>
          </w:p>
        </w:tc>
        <w:tc>
          <w:tcPr>
            <w:tcW w:w="7593" w:type="dxa"/>
            <w:shd w:val="clear" w:color="auto" w:fill="D7D7D7"/>
            <w:vAlign w:val="center"/>
          </w:tcPr>
          <w:p>
            <w:pPr>
              <w:pStyle w:val="10"/>
              <w:spacing w:before="1"/>
              <w:ind w:left="495" w:firstLine="442"/>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内 容</w:t>
            </w:r>
          </w:p>
        </w:tc>
        <w:tc>
          <w:tcPr>
            <w:tcW w:w="1134" w:type="dxa"/>
            <w:shd w:val="clear" w:color="auto" w:fill="D7D7D7"/>
            <w:vAlign w:val="center"/>
          </w:tcPr>
          <w:p>
            <w:pPr>
              <w:pStyle w:val="10"/>
              <w:spacing w:before="68"/>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评审点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2" w:hRule="atLeast"/>
        </w:trPr>
        <w:tc>
          <w:tcPr>
            <w:tcW w:w="913" w:type="dxa"/>
            <w:vAlign w:val="center"/>
          </w:tcPr>
          <w:p>
            <w:pPr>
              <w:pStyle w:val="10"/>
              <w:spacing w:before="215"/>
              <w:jc w:val="center"/>
              <w:rPr>
                <w:rFonts w:ascii="Courier New" w:hAnsi="Courier New" w:cs="Courier New"/>
                <w:color w:val="000000" w:themeColor="text1"/>
                <w:sz w:val="21"/>
                <w:szCs w:val="21"/>
                <w:lang w:val="en-US" w:bidi="ar-SA"/>
                <w14:textFill>
                  <w14:solidFill>
                    <w14:schemeClr w14:val="tx1"/>
                  </w14:solidFill>
                </w14:textFill>
              </w:rPr>
            </w:pPr>
            <w:r>
              <w:rPr>
                <w:rFonts w:hint="eastAsia" w:ascii="Courier New" w:hAnsi="Courier New" w:cs="Courier New"/>
                <w:color w:val="000000" w:themeColor="text1"/>
                <w:sz w:val="21"/>
                <w:szCs w:val="21"/>
                <w:lang w:val="en-US" w:bidi="ar-SA"/>
                <w14:textFill>
                  <w14:solidFill>
                    <w14:schemeClr w14:val="tx1"/>
                  </w14:solidFill>
                </w14:textFill>
              </w:rPr>
              <w:t>工</w:t>
            </w:r>
            <w:r>
              <w:rPr>
                <w:rFonts w:ascii="Courier New" w:hAnsi="Courier New" w:cs="Courier New"/>
                <w:color w:val="000000" w:themeColor="text1"/>
                <w:sz w:val="21"/>
                <w:szCs w:val="21"/>
                <w:lang w:val="en-US" w:bidi="ar-SA"/>
                <w14:textFill>
                  <w14:solidFill>
                    <w14:schemeClr w14:val="tx1"/>
                  </w14:solidFill>
                </w14:textFill>
              </w:rPr>
              <w:t>期</w:t>
            </w:r>
          </w:p>
        </w:tc>
        <w:tc>
          <w:tcPr>
            <w:tcW w:w="7593"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合同签订之日起，</w:t>
            </w:r>
            <w:r>
              <w:rPr>
                <w:color w:val="000000" w:themeColor="text1"/>
                <w:szCs w:val="21"/>
                <w14:textFill>
                  <w14:solidFill>
                    <w14:schemeClr w14:val="tx1"/>
                  </w14:solidFill>
                </w14:textFill>
              </w:rPr>
              <w:t>40</w:t>
            </w:r>
            <w:r>
              <w:rPr>
                <w:rFonts w:hint="eastAsia"/>
                <w:color w:val="000000" w:themeColor="text1"/>
                <w:szCs w:val="21"/>
                <w14:textFill>
                  <w14:solidFill>
                    <w14:schemeClr w14:val="tx1"/>
                  </w14:solidFill>
                </w14:textFill>
              </w:rPr>
              <w:t>天内完成等保设备与OA系统软件的安装调试工作</w:t>
            </w:r>
          </w:p>
        </w:tc>
        <w:tc>
          <w:tcPr>
            <w:tcW w:w="1134" w:type="dxa"/>
            <w:vAlign w:val="center"/>
          </w:tcPr>
          <w:p>
            <w:pPr>
              <w:pStyle w:val="10"/>
              <w:spacing w:before="215"/>
              <w:jc w:val="center"/>
              <w:rPr>
                <w:b/>
                <w:color w:val="000000" w:themeColor="text1"/>
                <w:sz w:val="22"/>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trPr>
        <w:tc>
          <w:tcPr>
            <w:tcW w:w="913" w:type="dxa"/>
            <w:vAlign w:val="center"/>
          </w:tcPr>
          <w:p>
            <w:pPr>
              <w:pStyle w:val="10"/>
              <w:spacing w:before="172"/>
              <w:ind w:left="16"/>
              <w:jc w:val="center"/>
              <w:rPr>
                <w:rFonts w:ascii="Courier New" w:hAnsi="Courier New" w:cs="Courier New"/>
                <w:color w:val="000000" w:themeColor="text1"/>
                <w:sz w:val="21"/>
                <w:szCs w:val="21"/>
                <w:lang w:val="en-US" w:bidi="ar-SA"/>
                <w14:textFill>
                  <w14:solidFill>
                    <w14:schemeClr w14:val="tx1"/>
                  </w14:solidFill>
                </w14:textFill>
              </w:rPr>
            </w:pPr>
            <w:r>
              <w:rPr>
                <w:rFonts w:ascii="Courier New" w:hAnsi="Courier New" w:cs="Courier New"/>
                <w:color w:val="000000" w:themeColor="text1"/>
                <w:sz w:val="21"/>
                <w:szCs w:val="21"/>
                <w:lang w:val="en-US" w:bidi="ar-SA"/>
                <w14:textFill>
                  <w14:solidFill>
                    <w14:schemeClr w14:val="tx1"/>
                  </w14:solidFill>
                </w14:textFill>
              </w:rPr>
              <w:t>服务地点</w:t>
            </w:r>
          </w:p>
        </w:tc>
        <w:tc>
          <w:tcPr>
            <w:tcW w:w="7593" w:type="dxa"/>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恩施市</w:t>
            </w:r>
          </w:p>
        </w:tc>
        <w:tc>
          <w:tcPr>
            <w:tcW w:w="1134" w:type="dxa"/>
            <w:vAlign w:val="center"/>
          </w:tcPr>
          <w:p>
            <w:pPr>
              <w:pStyle w:val="10"/>
              <w:spacing w:before="215"/>
              <w:jc w:val="center"/>
              <w:rPr>
                <w:b/>
                <w:color w:val="000000" w:themeColor="text1"/>
                <w:sz w:val="22"/>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3" w:hRule="atLeast"/>
        </w:trPr>
        <w:tc>
          <w:tcPr>
            <w:tcW w:w="913" w:type="dxa"/>
            <w:vAlign w:val="center"/>
          </w:tcPr>
          <w:p>
            <w:pPr>
              <w:numPr>
                <w:ilvl w:val="0"/>
                <w:numId w:val="37"/>
              </w:num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报价要求</w:t>
            </w:r>
          </w:p>
        </w:tc>
        <w:tc>
          <w:tcPr>
            <w:tcW w:w="7593" w:type="dxa"/>
            <w:vAlign w:val="center"/>
          </w:tcPr>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的报价应包含为完成本招标文件提出的设备采购、运输、安装、软件开发集成、调试、报检以及售后服务等全部相关工作所有可能发生的费用，即所需的一切人工、物耗、工具、设备、用水、用电、保险和调研、咨询、测试、验收、评审、培训、税金等所有可能发生的一切费用，即投标总报价为“交钥匙”价。对在合同实施过程中可能发生的其他费用（如：增加耗材、材料涨价、人工、运输成本增加等因素），采购人概不负责。本文件所要求内容应视为保证系统运行所需最低要求，如有遗漏，投标人应予补充。否则，将不予以付款。</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对本文件未列明，而投标人认为必需的费用也需列入投标总报价。在合同实施时采购人将不予支付中标人没有列入的项目费用，并认为此项目的费用已包含在投标总报价中。 </w:t>
            </w:r>
          </w:p>
        </w:tc>
        <w:tc>
          <w:tcPr>
            <w:tcW w:w="1134" w:type="dxa"/>
            <w:vAlign w:val="center"/>
          </w:tcPr>
          <w:p>
            <w:pPr>
              <w:pStyle w:val="10"/>
              <w:spacing w:before="215"/>
              <w:jc w:val="center"/>
              <w:rPr>
                <w:b/>
                <w:color w:val="000000" w:themeColor="text1"/>
                <w:sz w:val="22"/>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913" w:type="dxa"/>
            <w:vAlign w:val="center"/>
          </w:tcPr>
          <w:p>
            <w:pPr>
              <w:numPr>
                <w:ilvl w:val="0"/>
                <w:numId w:val="37"/>
              </w:num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付款方式</w:t>
            </w:r>
          </w:p>
        </w:tc>
        <w:tc>
          <w:tcPr>
            <w:tcW w:w="7593" w:type="dxa"/>
            <w:vAlign w:val="center"/>
          </w:tcPr>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中标人必须按国家有关财税规定开具发票。</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合同签订后</w:t>
            </w: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个工作日内，支付合同款的60%作为预付款；系统通过验收</w:t>
            </w: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个工作日内，采购人支付合同款的35%；验收通过满一年，无息付清合同款项。</w:t>
            </w:r>
          </w:p>
        </w:tc>
        <w:tc>
          <w:tcPr>
            <w:tcW w:w="1134" w:type="dxa"/>
            <w:vAlign w:val="center"/>
          </w:tcPr>
          <w:p>
            <w:pPr>
              <w:pStyle w:val="10"/>
              <w:spacing w:before="215"/>
              <w:jc w:val="center"/>
              <w:rPr>
                <w:b/>
                <w:color w:val="000000" w:themeColor="text1"/>
                <w:sz w:val="22"/>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3" w:hRule="atLeast"/>
        </w:trPr>
        <w:tc>
          <w:tcPr>
            <w:tcW w:w="913" w:type="dxa"/>
            <w:vAlign w:val="center"/>
          </w:tcPr>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履约保障条款</w:t>
            </w:r>
          </w:p>
        </w:tc>
        <w:tc>
          <w:tcPr>
            <w:tcW w:w="7593" w:type="dxa"/>
            <w:vAlign w:val="center"/>
          </w:tcPr>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依据《中华人民共和国政府采购法实施条例》的有关规定，中标人待双方合同签订后 30 日内。 </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具有良好的信用、开发能力及同类项目建设业绩。 </w:t>
            </w:r>
          </w:p>
        </w:tc>
        <w:tc>
          <w:tcPr>
            <w:tcW w:w="1134" w:type="dxa"/>
            <w:vAlign w:val="center"/>
          </w:tcPr>
          <w:p>
            <w:pPr>
              <w:pStyle w:val="10"/>
              <w:spacing w:before="215"/>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3" w:hRule="atLeast"/>
        </w:trPr>
        <w:tc>
          <w:tcPr>
            <w:tcW w:w="913" w:type="dxa"/>
            <w:vAlign w:val="center"/>
          </w:tcPr>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系统升级验收标准</w:t>
            </w:r>
          </w:p>
        </w:tc>
        <w:tc>
          <w:tcPr>
            <w:tcW w:w="7593" w:type="dxa"/>
            <w:vAlign w:val="center"/>
          </w:tcPr>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本项目的软件系统升级验收以项目招标文件、合同书、国标、行业标准和相关政策法规、国际惯例等作为项目验收的依据，由项目实施单位负责编写验收方案，建设单位审定。</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初步验收 </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系统开发、部署、调试完成后，经建设单位认可，建设单位组织初验。系统初验的基本条件是：</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全面完成系统的部署和测试工作，系统安装调试，并进行相关的配置和系统优化调试，达到功能、性能、使用等方面的要求。 </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承建方提供业务系统功能、性能测试报告。</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完成实施过程中所有文档的提交（技术文档、实施文档、用户使用手册等）。</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项目中标人在初验前 10 天提供一份详细的初验方案，经建设单位认可后执行</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试运行 </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系统通过初步验收后，进入 1 个月的连续试运行期。项目实施单位安排技术人员进行技术服务，负责系统试运行阶段的服务工作。 </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在试运行期间，由于各种原因造成某些技术指标达不到要求，项目中标人应负责及时解决，但试运行期相应顺延。 </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所有试运行期间系统的修改和软件变化都应在试运行结束后由项目实施单位写入操作和维护手册中。</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项目终验</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系统试运行结束后，根据试运结果进行整改，由中标人提出终验申请，建设单位组织专家进行终验。</w:t>
            </w:r>
          </w:p>
          <w:p>
            <w:pPr>
              <w:numPr>
                <w:ilvl w:val="0"/>
                <w:numId w:val="37"/>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验收通过后，中标方安排专人驻场30天，负责完成业主OA办公系统的使用需求调研与系统数据配置工作，并进行使用人员的培训。</w:t>
            </w:r>
          </w:p>
        </w:tc>
        <w:tc>
          <w:tcPr>
            <w:tcW w:w="1134" w:type="dxa"/>
            <w:vAlign w:val="center"/>
          </w:tcPr>
          <w:p>
            <w:pPr>
              <w:pStyle w:val="10"/>
              <w:spacing w:before="215"/>
              <w:jc w:val="center"/>
              <w:rPr>
                <w:b/>
                <w:color w:val="000000" w:themeColor="text1"/>
                <w:sz w:val="22"/>
                <w14:textFill>
                  <w14:solidFill>
                    <w14:schemeClr w14:val="tx1"/>
                  </w14:solidFill>
                </w14:textFill>
              </w:rPr>
            </w:pPr>
            <w:r>
              <w:rPr>
                <w:b/>
                <w:color w:val="000000" w:themeColor="text1"/>
                <w:sz w:val="22"/>
                <w14:textFill>
                  <w14:solidFill>
                    <w14:schemeClr w14:val="tx1"/>
                  </w14:solidFill>
                </w14:textFill>
              </w:rPr>
              <w:t>△</w:t>
            </w:r>
          </w:p>
        </w:tc>
      </w:tr>
    </w:tbl>
    <w:p>
      <w:pPr>
        <w:pStyle w:val="9"/>
        <w:spacing w:line="440" w:lineRule="exact"/>
        <w:ind w:firstLine="0" w:firstLineChars="0"/>
        <w:rPr>
          <w:rFonts w:ascii="宋体" w:hAnsi="宋体" w:cs="宋体"/>
          <w:color w:val="000000" w:themeColor="text1"/>
          <w:sz w:val="24"/>
          <w:szCs w:val="24"/>
          <w14:textFill>
            <w14:solidFill>
              <w14:schemeClr w14:val="tx1"/>
            </w14:solidFill>
          </w14:textFill>
        </w:rPr>
      </w:pPr>
    </w:p>
    <w:p>
      <w:pPr>
        <w:pStyle w:val="9"/>
        <w:spacing w:line="440" w:lineRule="exact"/>
        <w:ind w:firstLine="0" w:firstLineChars="0"/>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（四）其他要求：</w:t>
      </w:r>
    </w:p>
    <w:p>
      <w:pPr>
        <w:spacing w:line="440" w:lineRule="exact"/>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1.报价要求：交钥匙工程，包含运保、安装等所有费用</w:t>
      </w:r>
    </w:p>
    <w:p>
      <w:pPr>
        <w:spacing w:line="440" w:lineRule="exact"/>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供货要求：供应商所提供的产品均应是全新、原装正品；所有设备必须配齐所有辅助配件及功能配件等附件；供应商提供完整的供货、安装、调试、验收及维护方案和承诺；自签订合同之日起40天内完成供货安装调试工作。</w:t>
      </w:r>
    </w:p>
    <w:p>
      <w:pPr>
        <w:spacing w:line="440" w:lineRule="exact"/>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3.工期：合同签订后40天内完成设备安装、网络调试、软件系统安装与调试，并完成OA办公系统的使用需求调研与业务流程创建，交付采购人使用。</w:t>
      </w:r>
    </w:p>
    <w:p>
      <w:pPr>
        <w:spacing w:line="440" w:lineRule="exact"/>
        <w:ind w:firstLine="480" w:firstLineChars="200"/>
        <w:rPr>
          <w:rFonts w:hint="eastAsia"/>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4.保修年限：硬件3年保修、软件2年免费现场服务。</w:t>
      </w:r>
    </w:p>
    <w:p>
      <w:pPr>
        <w:rPr>
          <w:color w:val="000000" w:themeColor="text1"/>
          <w14:textFill>
            <w14:solidFill>
              <w14:schemeClr w14:val="tx1"/>
            </w14:solidFill>
          </w14:textFill>
        </w:rPr>
      </w:pPr>
    </w:p>
    <w:sectPr>
      <w:footerReference r:id="rId4" w:type="first"/>
      <w:footerReference r:id="rId3" w:type="default"/>
      <w:pgSz w:w="11906" w:h="16838"/>
      <w:pgMar w:top="1418" w:right="1361" w:bottom="1247"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26</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26</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49</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49</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012D85"/>
    <w:multiLevelType w:val="singleLevel"/>
    <w:tmpl w:val="8B012D85"/>
    <w:lvl w:ilvl="0" w:tentative="0">
      <w:start w:val="1"/>
      <w:numFmt w:val="decimal"/>
      <w:lvlText w:val="%1."/>
      <w:lvlJc w:val="left"/>
      <w:pPr>
        <w:tabs>
          <w:tab w:val="left" w:pos="312"/>
        </w:tabs>
      </w:pPr>
    </w:lvl>
  </w:abstractNum>
  <w:abstractNum w:abstractNumId="1">
    <w:nsid w:val="8C145613"/>
    <w:multiLevelType w:val="singleLevel"/>
    <w:tmpl w:val="8C145613"/>
    <w:lvl w:ilvl="0" w:tentative="0">
      <w:start w:val="1"/>
      <w:numFmt w:val="decimal"/>
      <w:suff w:val="nothing"/>
      <w:lvlText w:val="%1．"/>
      <w:lvlJc w:val="left"/>
      <w:pPr>
        <w:ind w:left="0" w:firstLine="400"/>
      </w:pPr>
      <w:rPr>
        <w:rFonts w:hint="default"/>
      </w:rPr>
    </w:lvl>
  </w:abstractNum>
  <w:abstractNum w:abstractNumId="2">
    <w:nsid w:val="9112198D"/>
    <w:multiLevelType w:val="singleLevel"/>
    <w:tmpl w:val="9112198D"/>
    <w:lvl w:ilvl="0" w:tentative="0">
      <w:start w:val="1"/>
      <w:numFmt w:val="decimal"/>
      <w:suff w:val="nothing"/>
      <w:lvlText w:val="%1）"/>
      <w:lvlJc w:val="left"/>
    </w:lvl>
  </w:abstractNum>
  <w:abstractNum w:abstractNumId="3">
    <w:nsid w:val="94540E1F"/>
    <w:multiLevelType w:val="singleLevel"/>
    <w:tmpl w:val="94540E1F"/>
    <w:lvl w:ilvl="0" w:tentative="0">
      <w:start w:val="1"/>
      <w:numFmt w:val="decimal"/>
      <w:lvlText w:val="%1."/>
      <w:lvlJc w:val="left"/>
      <w:pPr>
        <w:tabs>
          <w:tab w:val="left" w:pos="312"/>
        </w:tabs>
      </w:pPr>
    </w:lvl>
  </w:abstractNum>
  <w:abstractNum w:abstractNumId="4">
    <w:nsid w:val="A212D6B6"/>
    <w:multiLevelType w:val="singleLevel"/>
    <w:tmpl w:val="A212D6B6"/>
    <w:lvl w:ilvl="0" w:tentative="0">
      <w:start w:val="1"/>
      <w:numFmt w:val="decimal"/>
      <w:suff w:val="nothing"/>
      <w:lvlText w:val="%1．"/>
      <w:lvlJc w:val="left"/>
      <w:pPr>
        <w:ind w:left="0" w:firstLine="400"/>
      </w:pPr>
      <w:rPr>
        <w:rFonts w:hint="default"/>
      </w:rPr>
    </w:lvl>
  </w:abstractNum>
  <w:abstractNum w:abstractNumId="5">
    <w:nsid w:val="A2BD3B78"/>
    <w:multiLevelType w:val="singleLevel"/>
    <w:tmpl w:val="A2BD3B78"/>
    <w:lvl w:ilvl="0" w:tentative="0">
      <w:start w:val="1"/>
      <w:numFmt w:val="decimal"/>
      <w:suff w:val="nothing"/>
      <w:lvlText w:val="（%1）"/>
      <w:lvlJc w:val="left"/>
    </w:lvl>
  </w:abstractNum>
  <w:abstractNum w:abstractNumId="6">
    <w:nsid w:val="B7BA8F31"/>
    <w:multiLevelType w:val="singleLevel"/>
    <w:tmpl w:val="B7BA8F31"/>
    <w:lvl w:ilvl="0" w:tentative="0">
      <w:start w:val="1"/>
      <w:numFmt w:val="decimal"/>
      <w:suff w:val="nothing"/>
      <w:lvlText w:val="%1．"/>
      <w:lvlJc w:val="left"/>
      <w:pPr>
        <w:ind w:left="0" w:firstLine="400"/>
      </w:pPr>
      <w:rPr>
        <w:rFonts w:hint="default"/>
      </w:rPr>
    </w:lvl>
  </w:abstractNum>
  <w:abstractNum w:abstractNumId="7">
    <w:nsid w:val="B966F90C"/>
    <w:multiLevelType w:val="singleLevel"/>
    <w:tmpl w:val="B966F90C"/>
    <w:lvl w:ilvl="0" w:tentative="0">
      <w:start w:val="1"/>
      <w:numFmt w:val="decimal"/>
      <w:lvlText w:val="%1."/>
      <w:lvlJc w:val="left"/>
      <w:pPr>
        <w:tabs>
          <w:tab w:val="left" w:pos="312"/>
        </w:tabs>
      </w:pPr>
    </w:lvl>
  </w:abstractNum>
  <w:abstractNum w:abstractNumId="8">
    <w:nsid w:val="C0EB9791"/>
    <w:multiLevelType w:val="singleLevel"/>
    <w:tmpl w:val="C0EB9791"/>
    <w:lvl w:ilvl="0" w:tentative="0">
      <w:start w:val="1"/>
      <w:numFmt w:val="decimal"/>
      <w:suff w:val="nothing"/>
      <w:lvlText w:val="%1．"/>
      <w:lvlJc w:val="left"/>
      <w:pPr>
        <w:ind w:left="0" w:firstLine="400"/>
      </w:pPr>
      <w:rPr>
        <w:rFonts w:hint="default"/>
      </w:rPr>
    </w:lvl>
  </w:abstractNum>
  <w:abstractNum w:abstractNumId="9">
    <w:nsid w:val="C202C930"/>
    <w:multiLevelType w:val="singleLevel"/>
    <w:tmpl w:val="C202C930"/>
    <w:lvl w:ilvl="0" w:tentative="0">
      <w:start w:val="1"/>
      <w:numFmt w:val="decimal"/>
      <w:suff w:val="nothing"/>
      <w:lvlText w:val="%1．"/>
      <w:lvlJc w:val="left"/>
      <w:pPr>
        <w:ind w:left="0" w:firstLine="400"/>
      </w:pPr>
      <w:rPr>
        <w:rFonts w:hint="default"/>
      </w:rPr>
    </w:lvl>
  </w:abstractNum>
  <w:abstractNum w:abstractNumId="10">
    <w:nsid w:val="D592BCBE"/>
    <w:multiLevelType w:val="singleLevel"/>
    <w:tmpl w:val="D592BCBE"/>
    <w:lvl w:ilvl="0" w:tentative="0">
      <w:start w:val="1"/>
      <w:numFmt w:val="decimal"/>
      <w:suff w:val="nothing"/>
      <w:lvlText w:val="（%1）"/>
      <w:lvlJc w:val="left"/>
    </w:lvl>
  </w:abstractNum>
  <w:abstractNum w:abstractNumId="11">
    <w:nsid w:val="D79271E8"/>
    <w:multiLevelType w:val="singleLevel"/>
    <w:tmpl w:val="D79271E8"/>
    <w:lvl w:ilvl="0" w:tentative="0">
      <w:start w:val="1"/>
      <w:numFmt w:val="decimal"/>
      <w:suff w:val="nothing"/>
      <w:lvlText w:val="%1）"/>
      <w:lvlJc w:val="left"/>
    </w:lvl>
  </w:abstractNum>
  <w:abstractNum w:abstractNumId="12">
    <w:nsid w:val="DEFC8E33"/>
    <w:multiLevelType w:val="singleLevel"/>
    <w:tmpl w:val="DEFC8E33"/>
    <w:lvl w:ilvl="0" w:tentative="0">
      <w:start w:val="1"/>
      <w:numFmt w:val="decimal"/>
      <w:suff w:val="nothing"/>
      <w:lvlText w:val="%1．"/>
      <w:lvlJc w:val="left"/>
      <w:pPr>
        <w:ind w:left="0" w:firstLine="400"/>
      </w:pPr>
      <w:rPr>
        <w:rFonts w:hint="default"/>
      </w:rPr>
    </w:lvl>
  </w:abstractNum>
  <w:abstractNum w:abstractNumId="13">
    <w:nsid w:val="E4289154"/>
    <w:multiLevelType w:val="singleLevel"/>
    <w:tmpl w:val="E4289154"/>
    <w:lvl w:ilvl="0" w:tentative="0">
      <w:start w:val="1"/>
      <w:numFmt w:val="decimal"/>
      <w:lvlText w:val="%1."/>
      <w:lvlJc w:val="left"/>
      <w:pPr>
        <w:tabs>
          <w:tab w:val="left" w:pos="312"/>
        </w:tabs>
      </w:pPr>
    </w:lvl>
  </w:abstractNum>
  <w:abstractNum w:abstractNumId="14">
    <w:nsid w:val="E549CFD9"/>
    <w:multiLevelType w:val="singleLevel"/>
    <w:tmpl w:val="E549CFD9"/>
    <w:lvl w:ilvl="0" w:tentative="0">
      <w:start w:val="1"/>
      <w:numFmt w:val="decimal"/>
      <w:suff w:val="nothing"/>
      <w:lvlText w:val="（%1）"/>
      <w:lvlJc w:val="left"/>
    </w:lvl>
  </w:abstractNum>
  <w:abstractNum w:abstractNumId="15">
    <w:nsid w:val="EA5C5453"/>
    <w:multiLevelType w:val="singleLevel"/>
    <w:tmpl w:val="EA5C5453"/>
    <w:lvl w:ilvl="0" w:tentative="0">
      <w:start w:val="1"/>
      <w:numFmt w:val="decimal"/>
      <w:suff w:val="nothing"/>
      <w:lvlText w:val="%1．"/>
      <w:lvlJc w:val="left"/>
      <w:pPr>
        <w:ind w:left="0" w:firstLine="400"/>
      </w:pPr>
      <w:rPr>
        <w:rFonts w:hint="default"/>
      </w:rPr>
    </w:lvl>
  </w:abstractNum>
  <w:abstractNum w:abstractNumId="16">
    <w:nsid w:val="EAA4EC2E"/>
    <w:multiLevelType w:val="singleLevel"/>
    <w:tmpl w:val="EAA4EC2E"/>
    <w:lvl w:ilvl="0" w:tentative="0">
      <w:start w:val="1"/>
      <w:numFmt w:val="decimal"/>
      <w:lvlText w:val="%1."/>
      <w:lvlJc w:val="left"/>
      <w:pPr>
        <w:tabs>
          <w:tab w:val="left" w:pos="312"/>
        </w:tabs>
      </w:pPr>
    </w:lvl>
  </w:abstractNum>
  <w:abstractNum w:abstractNumId="17">
    <w:nsid w:val="EDCE39D1"/>
    <w:multiLevelType w:val="singleLevel"/>
    <w:tmpl w:val="EDCE39D1"/>
    <w:lvl w:ilvl="0" w:tentative="0">
      <w:start w:val="1"/>
      <w:numFmt w:val="decimal"/>
      <w:lvlText w:val="%1."/>
      <w:lvlJc w:val="left"/>
      <w:pPr>
        <w:tabs>
          <w:tab w:val="left" w:pos="312"/>
        </w:tabs>
      </w:pPr>
    </w:lvl>
  </w:abstractNum>
  <w:abstractNum w:abstractNumId="18">
    <w:nsid w:val="F372F2BE"/>
    <w:multiLevelType w:val="singleLevel"/>
    <w:tmpl w:val="F372F2BE"/>
    <w:lvl w:ilvl="0" w:tentative="0">
      <w:start w:val="1"/>
      <w:numFmt w:val="decimal"/>
      <w:suff w:val="nothing"/>
      <w:lvlText w:val="%1．"/>
      <w:lvlJc w:val="left"/>
      <w:pPr>
        <w:ind w:left="0" w:firstLine="400"/>
      </w:pPr>
      <w:rPr>
        <w:rFonts w:hint="default"/>
      </w:rPr>
    </w:lvl>
  </w:abstractNum>
  <w:abstractNum w:abstractNumId="19">
    <w:nsid w:val="06C079D3"/>
    <w:multiLevelType w:val="singleLevel"/>
    <w:tmpl w:val="06C079D3"/>
    <w:lvl w:ilvl="0" w:tentative="0">
      <w:start w:val="1"/>
      <w:numFmt w:val="decimal"/>
      <w:suff w:val="nothing"/>
      <w:lvlText w:val="（%1）"/>
      <w:lvlJc w:val="left"/>
    </w:lvl>
  </w:abstractNum>
  <w:abstractNum w:abstractNumId="20">
    <w:nsid w:val="0C91CBD7"/>
    <w:multiLevelType w:val="singleLevel"/>
    <w:tmpl w:val="0C91CBD7"/>
    <w:lvl w:ilvl="0" w:tentative="0">
      <w:start w:val="1"/>
      <w:numFmt w:val="decimal"/>
      <w:lvlText w:val="%1."/>
      <w:lvlJc w:val="left"/>
      <w:pPr>
        <w:tabs>
          <w:tab w:val="left" w:pos="312"/>
        </w:tabs>
      </w:pPr>
    </w:lvl>
  </w:abstractNum>
  <w:abstractNum w:abstractNumId="21">
    <w:nsid w:val="1455D716"/>
    <w:multiLevelType w:val="singleLevel"/>
    <w:tmpl w:val="1455D716"/>
    <w:lvl w:ilvl="0" w:tentative="0">
      <w:start w:val="1"/>
      <w:numFmt w:val="decimal"/>
      <w:suff w:val="nothing"/>
      <w:lvlText w:val="%1．"/>
      <w:lvlJc w:val="left"/>
      <w:pPr>
        <w:ind w:left="0" w:firstLine="400"/>
      </w:pPr>
      <w:rPr>
        <w:rFonts w:hint="default"/>
      </w:rPr>
    </w:lvl>
  </w:abstractNum>
  <w:abstractNum w:abstractNumId="22">
    <w:nsid w:val="1511B198"/>
    <w:multiLevelType w:val="singleLevel"/>
    <w:tmpl w:val="1511B198"/>
    <w:lvl w:ilvl="0" w:tentative="0">
      <w:start w:val="1"/>
      <w:numFmt w:val="decimal"/>
      <w:suff w:val="nothing"/>
      <w:lvlText w:val="%1．"/>
      <w:lvlJc w:val="left"/>
      <w:pPr>
        <w:ind w:left="0" w:firstLine="400"/>
      </w:pPr>
      <w:rPr>
        <w:rFonts w:hint="default"/>
      </w:rPr>
    </w:lvl>
  </w:abstractNum>
  <w:abstractNum w:abstractNumId="23">
    <w:nsid w:val="1E3633FE"/>
    <w:multiLevelType w:val="singleLevel"/>
    <w:tmpl w:val="1E3633FE"/>
    <w:lvl w:ilvl="0" w:tentative="0">
      <w:start w:val="1"/>
      <w:numFmt w:val="decimal"/>
      <w:lvlText w:val="%1."/>
      <w:lvlJc w:val="left"/>
      <w:pPr>
        <w:tabs>
          <w:tab w:val="left" w:pos="312"/>
        </w:tabs>
      </w:pPr>
    </w:lvl>
  </w:abstractNum>
  <w:abstractNum w:abstractNumId="24">
    <w:nsid w:val="3EC37111"/>
    <w:multiLevelType w:val="singleLevel"/>
    <w:tmpl w:val="3EC37111"/>
    <w:lvl w:ilvl="0" w:tentative="0">
      <w:start w:val="1"/>
      <w:numFmt w:val="decimal"/>
      <w:suff w:val="nothing"/>
      <w:lvlText w:val="%1．"/>
      <w:lvlJc w:val="left"/>
      <w:pPr>
        <w:ind w:left="0" w:firstLine="400"/>
      </w:pPr>
      <w:rPr>
        <w:rFonts w:hint="default"/>
      </w:rPr>
    </w:lvl>
  </w:abstractNum>
  <w:abstractNum w:abstractNumId="25">
    <w:nsid w:val="42240EAE"/>
    <w:multiLevelType w:val="singleLevel"/>
    <w:tmpl w:val="42240EAE"/>
    <w:lvl w:ilvl="0" w:tentative="0">
      <w:start w:val="1"/>
      <w:numFmt w:val="decimal"/>
      <w:suff w:val="nothing"/>
      <w:lvlText w:val="（%1）"/>
      <w:lvlJc w:val="left"/>
    </w:lvl>
  </w:abstractNum>
  <w:abstractNum w:abstractNumId="26">
    <w:nsid w:val="428A3D7C"/>
    <w:multiLevelType w:val="singleLevel"/>
    <w:tmpl w:val="428A3D7C"/>
    <w:lvl w:ilvl="0" w:tentative="0">
      <w:start w:val="1"/>
      <w:numFmt w:val="decimal"/>
      <w:lvlText w:val="%1."/>
      <w:lvlJc w:val="left"/>
      <w:pPr>
        <w:tabs>
          <w:tab w:val="left" w:pos="312"/>
        </w:tabs>
      </w:pPr>
    </w:lvl>
  </w:abstractNum>
  <w:abstractNum w:abstractNumId="27">
    <w:nsid w:val="43CD4F92"/>
    <w:multiLevelType w:val="singleLevel"/>
    <w:tmpl w:val="43CD4F92"/>
    <w:lvl w:ilvl="0" w:tentative="0">
      <w:start w:val="1"/>
      <w:numFmt w:val="decimal"/>
      <w:lvlText w:val="%1."/>
      <w:lvlJc w:val="left"/>
      <w:pPr>
        <w:tabs>
          <w:tab w:val="left" w:pos="312"/>
        </w:tabs>
      </w:pPr>
    </w:lvl>
  </w:abstractNum>
  <w:abstractNum w:abstractNumId="28">
    <w:nsid w:val="4AF724D3"/>
    <w:multiLevelType w:val="singleLevel"/>
    <w:tmpl w:val="4AF724D3"/>
    <w:lvl w:ilvl="0" w:tentative="0">
      <w:start w:val="1"/>
      <w:numFmt w:val="decimal"/>
      <w:suff w:val="nothing"/>
      <w:lvlText w:val="%1．"/>
      <w:lvlJc w:val="left"/>
      <w:pPr>
        <w:ind w:left="0" w:firstLine="400"/>
      </w:pPr>
      <w:rPr>
        <w:rFonts w:hint="default"/>
      </w:rPr>
    </w:lvl>
  </w:abstractNum>
  <w:abstractNum w:abstractNumId="29">
    <w:nsid w:val="4F3C6834"/>
    <w:multiLevelType w:val="singleLevel"/>
    <w:tmpl w:val="4F3C6834"/>
    <w:lvl w:ilvl="0" w:tentative="0">
      <w:start w:val="1"/>
      <w:numFmt w:val="decimal"/>
      <w:suff w:val="nothing"/>
      <w:lvlText w:val="%1．"/>
      <w:lvlJc w:val="left"/>
      <w:pPr>
        <w:ind w:left="0" w:firstLine="400"/>
      </w:pPr>
      <w:rPr>
        <w:rFonts w:hint="default"/>
      </w:rPr>
    </w:lvl>
  </w:abstractNum>
  <w:abstractNum w:abstractNumId="30">
    <w:nsid w:val="527474A8"/>
    <w:multiLevelType w:val="singleLevel"/>
    <w:tmpl w:val="527474A8"/>
    <w:lvl w:ilvl="0" w:tentative="0">
      <w:start w:val="1"/>
      <w:numFmt w:val="decimal"/>
      <w:lvlText w:val="%1."/>
      <w:lvlJc w:val="left"/>
      <w:pPr>
        <w:tabs>
          <w:tab w:val="left" w:pos="312"/>
        </w:tabs>
      </w:pPr>
    </w:lvl>
  </w:abstractNum>
  <w:abstractNum w:abstractNumId="31">
    <w:nsid w:val="5BD64F10"/>
    <w:multiLevelType w:val="singleLevel"/>
    <w:tmpl w:val="5BD64F10"/>
    <w:lvl w:ilvl="0" w:tentative="0">
      <w:start w:val="1"/>
      <w:numFmt w:val="decimal"/>
      <w:suff w:val="nothing"/>
      <w:lvlText w:val="（%1）"/>
      <w:lvlJc w:val="left"/>
    </w:lvl>
  </w:abstractNum>
  <w:abstractNum w:abstractNumId="32">
    <w:nsid w:val="5D75B11C"/>
    <w:multiLevelType w:val="singleLevel"/>
    <w:tmpl w:val="5D75B11C"/>
    <w:lvl w:ilvl="0" w:tentative="0">
      <w:start w:val="1"/>
      <w:numFmt w:val="decimal"/>
      <w:suff w:val="nothing"/>
      <w:lvlText w:val="%1．"/>
      <w:lvlJc w:val="left"/>
      <w:pPr>
        <w:ind w:left="0" w:firstLine="400"/>
      </w:pPr>
      <w:rPr>
        <w:rFonts w:hint="default"/>
      </w:rPr>
    </w:lvl>
  </w:abstractNum>
  <w:abstractNum w:abstractNumId="33">
    <w:nsid w:val="5E885E93"/>
    <w:multiLevelType w:val="singleLevel"/>
    <w:tmpl w:val="5E885E93"/>
    <w:lvl w:ilvl="0" w:tentative="0">
      <w:start w:val="1"/>
      <w:numFmt w:val="decimal"/>
      <w:suff w:val="nothing"/>
      <w:lvlText w:val="%1．"/>
      <w:lvlJc w:val="left"/>
      <w:pPr>
        <w:ind w:left="0" w:firstLine="400"/>
      </w:pPr>
      <w:rPr>
        <w:rFonts w:hint="default"/>
      </w:rPr>
    </w:lvl>
  </w:abstractNum>
  <w:abstractNum w:abstractNumId="34">
    <w:nsid w:val="5FE2AB39"/>
    <w:multiLevelType w:val="singleLevel"/>
    <w:tmpl w:val="5FE2AB39"/>
    <w:lvl w:ilvl="0" w:tentative="0">
      <w:start w:val="1"/>
      <w:numFmt w:val="decimal"/>
      <w:lvlText w:val="%1."/>
      <w:lvlJc w:val="left"/>
      <w:pPr>
        <w:tabs>
          <w:tab w:val="left" w:pos="312"/>
        </w:tabs>
      </w:pPr>
    </w:lvl>
  </w:abstractNum>
  <w:abstractNum w:abstractNumId="35">
    <w:nsid w:val="62DC9241"/>
    <w:multiLevelType w:val="singleLevel"/>
    <w:tmpl w:val="62DC9241"/>
    <w:lvl w:ilvl="0" w:tentative="0">
      <w:start w:val="1"/>
      <w:numFmt w:val="decimal"/>
      <w:lvlText w:val="%1."/>
      <w:lvlJc w:val="left"/>
      <w:pPr>
        <w:tabs>
          <w:tab w:val="left" w:pos="312"/>
        </w:tabs>
      </w:pPr>
    </w:lvl>
  </w:abstractNum>
  <w:abstractNum w:abstractNumId="36">
    <w:nsid w:val="75C216BD"/>
    <w:multiLevelType w:val="singleLevel"/>
    <w:tmpl w:val="75C216BD"/>
    <w:lvl w:ilvl="0" w:tentative="0">
      <w:start w:val="1"/>
      <w:numFmt w:val="decimal"/>
      <w:suff w:val="nothing"/>
      <w:lvlText w:val="%1）"/>
      <w:lvlJc w:val="left"/>
    </w:lvl>
  </w:abstractNum>
  <w:num w:numId="1">
    <w:abstractNumId w:val="33"/>
  </w:num>
  <w:num w:numId="2">
    <w:abstractNumId w:val="19"/>
  </w:num>
  <w:num w:numId="3">
    <w:abstractNumId w:val="14"/>
  </w:num>
  <w:num w:numId="4">
    <w:abstractNumId w:val="12"/>
  </w:num>
  <w:num w:numId="5">
    <w:abstractNumId w:val="31"/>
  </w:num>
  <w:num w:numId="6">
    <w:abstractNumId w:val="5"/>
  </w:num>
  <w:num w:numId="7">
    <w:abstractNumId w:val="29"/>
  </w:num>
  <w:num w:numId="8">
    <w:abstractNumId w:val="25"/>
  </w:num>
  <w:num w:numId="9">
    <w:abstractNumId w:val="4"/>
  </w:num>
  <w:num w:numId="10">
    <w:abstractNumId w:val="11"/>
  </w:num>
  <w:num w:numId="11">
    <w:abstractNumId w:val="2"/>
  </w:num>
  <w:num w:numId="12">
    <w:abstractNumId w:val="9"/>
  </w:num>
  <w:num w:numId="13">
    <w:abstractNumId w:val="18"/>
  </w:num>
  <w:num w:numId="14">
    <w:abstractNumId w:val="32"/>
  </w:num>
  <w:num w:numId="15">
    <w:abstractNumId w:val="10"/>
  </w:num>
  <w:num w:numId="16">
    <w:abstractNumId w:val="28"/>
  </w:num>
  <w:num w:numId="17">
    <w:abstractNumId w:val="15"/>
  </w:num>
  <w:num w:numId="18">
    <w:abstractNumId w:val="8"/>
  </w:num>
  <w:num w:numId="19">
    <w:abstractNumId w:val="22"/>
  </w:num>
  <w:num w:numId="20">
    <w:abstractNumId w:val="36"/>
  </w:num>
  <w:num w:numId="21">
    <w:abstractNumId w:val="21"/>
  </w:num>
  <w:num w:numId="22">
    <w:abstractNumId w:val="24"/>
  </w:num>
  <w:num w:numId="23">
    <w:abstractNumId w:val="6"/>
  </w:num>
  <w:num w:numId="24">
    <w:abstractNumId w:val="1"/>
  </w:num>
  <w:num w:numId="25">
    <w:abstractNumId w:val="30"/>
  </w:num>
  <w:num w:numId="26">
    <w:abstractNumId w:val="34"/>
  </w:num>
  <w:num w:numId="27">
    <w:abstractNumId w:val="26"/>
  </w:num>
  <w:num w:numId="28">
    <w:abstractNumId w:val="23"/>
  </w:num>
  <w:num w:numId="29">
    <w:abstractNumId w:val="27"/>
  </w:num>
  <w:num w:numId="30">
    <w:abstractNumId w:val="3"/>
  </w:num>
  <w:num w:numId="31">
    <w:abstractNumId w:val="16"/>
  </w:num>
  <w:num w:numId="32">
    <w:abstractNumId w:val="0"/>
  </w:num>
  <w:num w:numId="33">
    <w:abstractNumId w:val="35"/>
  </w:num>
  <w:num w:numId="34">
    <w:abstractNumId w:val="7"/>
  </w:num>
  <w:num w:numId="35">
    <w:abstractNumId w:val="20"/>
  </w:num>
  <w:num w:numId="36">
    <w:abstractNumId w:val="17"/>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979FA"/>
    <w:rsid w:val="252462B2"/>
    <w:rsid w:val="50445AE1"/>
    <w:rsid w:val="7BB97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ourier New" w:hAnsi="Courier New" w:eastAsia="宋体" w:cs="Courier New"/>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oa heading"/>
    <w:basedOn w:val="1"/>
    <w:next w:val="1"/>
    <w:semiHidden/>
    <w:unhideWhenUsed/>
    <w:qFormat/>
    <w:uiPriority w:val="99"/>
    <w:pPr>
      <w:spacing w:before="120"/>
    </w:pPr>
    <w:rPr>
      <w:rFonts w:asciiTheme="majorHAnsi" w:hAnsiTheme="majorHAnsi" w:cstheme="majorBidi"/>
      <w:sz w:val="24"/>
    </w:r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5">
    <w:name w:val="footer"/>
    <w:basedOn w:val="1"/>
    <w:qFormat/>
    <w:uiPriority w:val="99"/>
    <w:pPr>
      <w:tabs>
        <w:tab w:val="center" w:pos="4153"/>
        <w:tab w:val="right" w:pos="8306"/>
      </w:tabs>
      <w:snapToGrid w:val="0"/>
      <w:jc w:val="left"/>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列出段落1"/>
    <w:basedOn w:val="1"/>
    <w:qFormat/>
    <w:uiPriority w:val="34"/>
    <w:pPr>
      <w:ind w:firstLine="420" w:firstLineChars="200"/>
    </w:pPr>
    <w:rPr>
      <w:szCs w:val="20"/>
    </w:rPr>
  </w:style>
  <w:style w:type="paragraph" w:customStyle="1" w:styleId="10">
    <w:name w:val="Table Paragraph"/>
    <w:basedOn w:val="1"/>
    <w:qFormat/>
    <w:uiPriority w:val="1"/>
    <w:pPr>
      <w:spacing w:before="38"/>
    </w:pPr>
    <w:rPr>
      <w:rFonts w:ascii="宋体" w:hAnsi="宋体" w:cs="宋体"/>
      <w:sz w:val="24"/>
      <w:lang w:val="zh-CN" w:bidi="zh-CN"/>
    </w:rPr>
  </w:style>
  <w:style w:type="paragraph" w:customStyle="1" w:styleId="11">
    <w:name w:val="表格文字"/>
    <w:basedOn w:val="1"/>
    <w:qFormat/>
    <w:uiPriority w:val="0"/>
    <w:pPr>
      <w:tabs>
        <w:tab w:val="left" w:pos="146"/>
      </w:tabs>
      <w:snapToGrid w:val="0"/>
      <w:spacing w:before="20" w:after="20" w:line="264" w:lineRule="auto"/>
      <w:jc w:val="center"/>
    </w:pPr>
    <w:rPr>
      <w:rFonts w:ascii="Cambria Math" w:hAnsi="Cambria Math"/>
      <w:spacing w:val="6"/>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2022-03-02T07:31:00Z</dcterms:created>
  <dc:creator>奔跑的五花肉</dc:creator>
  <cp:lastModifiedBy>奔跑的五花肉</cp:lastModifiedBy>
  <dcterms:modified xsi:type="dcterms:W3CDTF">2022-03-02T08:17:16Z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FA2A18799F6C41F4A0E1EBD462856D18</vt:lpwstr>
  </property>
</Properties>
</file>