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150" w:beforeAutospacing="0" w:afterAutospacing="0" w:line="420" w:lineRule="atLeast"/>
        <w:ind w:firstLine="840" w:firstLineChars="300"/>
        <w:jc w:val="both"/>
        <w:rPr>
          <w:color w:val="333333"/>
          <w:sz w:val="28"/>
          <w:szCs w:val="28"/>
        </w:rPr>
      </w:pPr>
      <w:bookmarkStart w:id="0" w:name="_GoBack"/>
      <w:r>
        <w:rPr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</w:rPr>
        <w:t>附件：州国投集团常年法律顾问竞争性磋商综合评分表</w:t>
      </w:r>
    </w:p>
    <w:bookmarkEnd w:id="0"/>
    <w:tbl>
      <w:tblPr>
        <w:tblStyle w:val="3"/>
        <w:tblW w:w="1356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5"/>
        <w:gridCol w:w="923"/>
        <w:gridCol w:w="1718"/>
        <w:gridCol w:w="7365"/>
        <w:gridCol w:w="1470"/>
        <w:gridCol w:w="147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adjustRightInd w:val="0"/>
              <w:snapToGrid w:val="0"/>
              <w:spacing w:beforeAutospacing="0" w:afterAutospacing="0" w:line="240" w:lineRule="atLeast"/>
              <w:jc w:val="center"/>
              <w:rPr>
                <w:rFonts w:ascii="仿宋" w:hAnsi="仿宋" w:eastAsia="仿宋" w:cs="仿宋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9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adjustRightInd w:val="0"/>
              <w:snapToGrid w:val="0"/>
              <w:spacing w:beforeAutospacing="0" w:afterAutospacing="0" w:line="240" w:lineRule="atLeast"/>
              <w:jc w:val="center"/>
              <w:rPr>
                <w:rFonts w:ascii="仿宋" w:hAnsi="仿宋" w:eastAsia="仿宋" w:cs="仿宋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</w:rPr>
              <w:t>项目</w:t>
            </w:r>
          </w:p>
        </w:tc>
        <w:tc>
          <w:tcPr>
            <w:tcW w:w="17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adjustRightInd w:val="0"/>
              <w:snapToGrid w:val="0"/>
              <w:spacing w:beforeAutospacing="0" w:afterAutospacing="0" w:line="240" w:lineRule="atLeast"/>
              <w:jc w:val="center"/>
              <w:rPr>
                <w:rFonts w:ascii="仿宋" w:hAnsi="仿宋" w:eastAsia="仿宋" w:cs="仿宋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</w:rPr>
              <w:t>评分事项</w:t>
            </w:r>
          </w:p>
        </w:tc>
        <w:tc>
          <w:tcPr>
            <w:tcW w:w="7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adjustRightInd w:val="0"/>
              <w:snapToGrid w:val="0"/>
              <w:spacing w:beforeAutospacing="0" w:afterAutospacing="0" w:line="240" w:lineRule="atLeast"/>
              <w:jc w:val="center"/>
              <w:rPr>
                <w:rFonts w:ascii="仿宋" w:hAnsi="仿宋" w:eastAsia="仿宋" w:cs="仿宋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</w:rPr>
              <w:t>评分标准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adjustRightInd w:val="0"/>
              <w:snapToGrid w:val="0"/>
              <w:spacing w:beforeAutospacing="0" w:afterAutospacing="0" w:line="240" w:lineRule="atLeast"/>
              <w:jc w:val="center"/>
              <w:rPr>
                <w:rFonts w:ascii="仿宋" w:hAnsi="仿宋" w:eastAsia="仿宋" w:cs="仿宋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</w:rPr>
              <w:t>总分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adjustRightInd w:val="0"/>
              <w:snapToGrid w:val="0"/>
              <w:spacing w:beforeAutospacing="0" w:afterAutospacing="0" w:line="240" w:lineRule="atLeast"/>
              <w:jc w:val="center"/>
              <w:rPr>
                <w:rFonts w:ascii="仿宋" w:hAnsi="仿宋" w:eastAsia="仿宋" w:cs="仿宋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8"/>
                <w:szCs w:val="28"/>
              </w:rPr>
              <w:t>得分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615" w:type="dxa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  <w:t>1</w:t>
            </w:r>
          </w:p>
        </w:tc>
        <w:tc>
          <w:tcPr>
            <w:tcW w:w="9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  <w:t>服务</w:t>
            </w:r>
          </w:p>
          <w:p>
            <w:pPr>
              <w:widowControl/>
              <w:adjustRightInd w:val="0"/>
              <w:snapToGrid w:val="0"/>
              <w:spacing w:line="240" w:lineRule="atLeast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  <w:t>方案</w:t>
            </w:r>
          </w:p>
        </w:tc>
        <w:tc>
          <w:tcPr>
            <w:tcW w:w="17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adjustRightInd w:val="0"/>
              <w:snapToGrid w:val="0"/>
              <w:spacing w:beforeAutospacing="0" w:afterAutospacing="0" w:line="240" w:lineRule="atLeast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  <w:t>法律服务方案</w:t>
            </w:r>
          </w:p>
        </w:tc>
        <w:tc>
          <w:tcPr>
            <w:tcW w:w="7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shd w:val="clear" w:color="auto" w:fill="FFFFFF"/>
              <w:adjustRightInd w:val="0"/>
              <w:snapToGrid w:val="0"/>
              <w:spacing w:beforeAutospacing="0" w:afterAutospacing="0" w:line="500" w:lineRule="exact"/>
              <w:rPr>
                <w:rFonts w:hint="default" w:ascii="仿宋" w:hAnsi="仿宋" w:eastAsia="仿宋" w:cs="仿宋"/>
                <w:color w:val="auto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  <w:t>结合对州国投集团及其全资子公司、控股企业的了解，制定包含外聘法律顾问和内部法律顾问在内的法律服务方案。综合评分20分。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firstLine="280" w:firstLineChars="100"/>
              <w:jc w:val="left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0分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615" w:type="dxa"/>
            <w:vMerge w:val="restart"/>
            <w:tcBorders>
              <w:top w:val="single" w:color="auto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adjustRightInd w:val="0"/>
              <w:snapToGrid w:val="0"/>
              <w:spacing w:beforeAutospacing="0" w:afterAutospacing="0" w:line="240" w:lineRule="atLeas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2</w:t>
            </w:r>
          </w:p>
        </w:tc>
        <w:tc>
          <w:tcPr>
            <w:tcW w:w="923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adjustRightInd w:val="0"/>
              <w:snapToGrid w:val="0"/>
              <w:spacing w:beforeAutospacing="0" w:afterAutospacing="0" w:line="240" w:lineRule="atLeast"/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综合</w:t>
            </w:r>
          </w:p>
          <w:p>
            <w:pPr>
              <w:pStyle w:val="2"/>
              <w:widowControl/>
              <w:adjustRightInd w:val="0"/>
              <w:snapToGrid w:val="0"/>
              <w:spacing w:beforeAutospacing="0" w:afterAutospacing="0" w:line="240" w:lineRule="atLeast"/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能力</w:t>
            </w:r>
          </w:p>
        </w:tc>
        <w:tc>
          <w:tcPr>
            <w:tcW w:w="17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adjustRightInd w:val="0"/>
              <w:snapToGrid w:val="0"/>
              <w:spacing w:beforeAutospacing="0" w:afterAutospacing="0" w:line="240" w:lineRule="atLeast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团队律师执业经验及法律服务能力</w:t>
            </w:r>
          </w:p>
        </w:tc>
        <w:tc>
          <w:tcPr>
            <w:tcW w:w="7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adjustRightInd w:val="0"/>
              <w:snapToGrid w:val="0"/>
              <w:spacing w:beforeAutospacing="0" w:afterAutospacing="0" w:line="240" w:lineRule="atLeast"/>
              <w:rPr>
                <w:rFonts w:hint="default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从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shd w:val="clear" w:color="auto" w:fill="FFFFFF"/>
              </w:rPr>
              <w:t>工程建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设、股权投资、文化旅游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、国企职业风险防范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等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方面介绍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团队律师，结合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近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服务过的经典案例讲解常见法律风险及应对方案。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团队优势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10分，讲解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shd w:val="clear" w:color="auto" w:fill="FFFFFF"/>
              </w:rPr>
              <w:t>常见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法律风险及应对方案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 xml:space="preserve">15分，综合评分25分。 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firstLine="280" w:firstLineChars="100"/>
              <w:jc w:val="left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615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adjustRightInd w:val="0"/>
              <w:snapToGrid w:val="0"/>
              <w:spacing w:beforeAutospacing="0" w:afterAutospacing="0" w:line="240" w:lineRule="atLeast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923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adjustRightInd w:val="0"/>
              <w:snapToGrid w:val="0"/>
              <w:spacing w:beforeAutospacing="0" w:afterAutospacing="0" w:line="240" w:lineRule="atLeast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7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adjustRightInd w:val="0"/>
              <w:snapToGrid w:val="0"/>
              <w:spacing w:beforeAutospacing="0" w:afterAutospacing="0" w:line="240" w:lineRule="atLeast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拟派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联系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律师经验及法律服务能力</w:t>
            </w:r>
          </w:p>
        </w:tc>
        <w:tc>
          <w:tcPr>
            <w:tcW w:w="7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adjustRightInd w:val="0"/>
              <w:snapToGrid w:val="0"/>
              <w:spacing w:beforeAutospacing="0" w:afterAutospacing="0" w:line="240" w:lineRule="atLeast"/>
              <w:rPr>
                <w:rFonts w:hint="default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shd w:val="clear" w:color="auto" w:fill="FFFFFF"/>
              </w:rPr>
              <w:t>拟派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shd w:val="clear" w:color="auto" w:fill="FFFFFF"/>
                <w:lang w:eastAsia="zh-CN"/>
              </w:rPr>
              <w:t>联系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shd w:val="clear" w:color="auto" w:fill="FFFFFF"/>
              </w:rPr>
              <w:t>律师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  <w:t>2人，其中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shd w:val="clear" w:color="auto" w:fill="FFFFFF"/>
                <w:lang w:eastAsia="zh-CN"/>
              </w:rPr>
              <w:t>一名律师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shd w:val="clear" w:color="auto" w:fill="FFFFFF"/>
              </w:rPr>
              <w:t>为工程建设领域律师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shd w:val="clear" w:color="auto" w:fill="FFFFFF"/>
                <w:lang w:eastAsia="zh-CN"/>
              </w:rPr>
              <w:t>，另一名律师由供应商酌情选派。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结合州国投集团法律服务需求，展示拟派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联系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律师经验及法律服务能力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，综合评分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25分。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firstLine="280" w:firstLineChars="100"/>
              <w:jc w:val="left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jc w:val="center"/>
        </w:trPr>
        <w:tc>
          <w:tcPr>
            <w:tcW w:w="615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923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7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adjustRightInd w:val="0"/>
              <w:snapToGrid w:val="0"/>
              <w:spacing w:beforeAutospacing="0" w:afterAutospacing="0" w:line="240" w:lineRule="atLeast"/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日常服务</w:t>
            </w:r>
          </w:p>
        </w:tc>
        <w:tc>
          <w:tcPr>
            <w:tcW w:w="7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adjustRightInd w:val="0"/>
              <w:snapToGrid w:val="0"/>
              <w:spacing w:beforeAutospacing="0" w:afterAutospacing="0" w:line="240" w:lineRule="atLeast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积极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响应州国投集团法律服务需求，咨询答复及时，参与重大项目论证，出具专业法律意见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年度法律服务报告，工作台账清晰等。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shd w:val="clear" w:color="auto" w:fill="FFFFFF"/>
                <w:lang w:eastAsia="zh-CN"/>
              </w:rPr>
              <w:t>综合评分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  <w:t>10分。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firstLine="280" w:firstLineChars="100"/>
              <w:jc w:val="left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jc w:val="center"/>
        </w:trPr>
        <w:tc>
          <w:tcPr>
            <w:tcW w:w="615" w:type="dxa"/>
            <w:vMerge w:val="continue"/>
            <w:tcBorders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923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7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adjustRightInd w:val="0"/>
              <w:snapToGrid w:val="0"/>
              <w:spacing w:beforeAutospacing="0" w:afterAutospacing="0" w:line="240" w:lineRule="atLeast"/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特殊项目服务能力</w:t>
            </w:r>
          </w:p>
        </w:tc>
        <w:tc>
          <w:tcPr>
            <w:tcW w:w="7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adjustRightInd w:val="0"/>
              <w:snapToGrid w:val="0"/>
              <w:spacing w:beforeAutospacing="0" w:afterAutospacing="0" w:line="240" w:lineRule="atLeast"/>
              <w:rPr>
                <w:rFonts w:hint="default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shd w:val="clear" w:color="auto" w:fill="FFFFFF"/>
                <w:lang w:eastAsia="zh-CN"/>
              </w:rPr>
              <w:t>团队律师在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shd w:val="clear" w:color="auto" w:fill="FFFFFF"/>
              </w:rPr>
              <w:t>PPP项目、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shd w:val="clear" w:color="auto" w:fill="FFFFFF"/>
                <w:lang w:eastAsia="zh-CN"/>
              </w:rPr>
              <w:t>特许经营、片区开发、信息化建设等特殊项目方面有相应研究、经验和服务能力。综合评分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  <w:t>10分。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firstLine="280" w:firstLineChars="100"/>
              <w:jc w:val="left"/>
              <w:rPr>
                <w:rFonts w:hint="default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10分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15" w:type="dxa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adjustRightInd w:val="0"/>
              <w:snapToGrid w:val="0"/>
              <w:spacing w:beforeAutospacing="0" w:afterAutospacing="0" w:line="240" w:lineRule="atLeas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3</w:t>
            </w:r>
          </w:p>
        </w:tc>
        <w:tc>
          <w:tcPr>
            <w:tcW w:w="9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adjustRightInd w:val="0"/>
              <w:snapToGrid w:val="0"/>
              <w:spacing w:beforeAutospacing="0" w:afterAutospacing="0" w:line="240" w:lineRule="atLeas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报价</w:t>
            </w:r>
          </w:p>
        </w:tc>
        <w:tc>
          <w:tcPr>
            <w:tcW w:w="17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adjustRightInd w:val="0"/>
              <w:snapToGrid w:val="0"/>
              <w:spacing w:beforeAutospacing="0" w:afterAutospacing="0" w:line="240" w:lineRule="atLeast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报价</w:t>
            </w:r>
          </w:p>
        </w:tc>
        <w:tc>
          <w:tcPr>
            <w:tcW w:w="7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adjustRightInd w:val="0"/>
              <w:snapToGrid w:val="0"/>
              <w:spacing w:beforeAutospacing="0" w:afterAutospacing="0" w:line="240" w:lineRule="atLeast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分值= 平均报价/报价*1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 xml:space="preserve">分  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ind w:firstLine="280" w:firstLineChars="100"/>
              <w:jc w:val="left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分</w:t>
            </w: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hNTJiOTg0NmZjYWU1ZDA3ZmQyMDNiOGNjMmNjMWUifQ=="/>
  </w:docVars>
  <w:rsids>
    <w:rsidRoot w:val="71437394"/>
    <w:rsid w:val="71437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2022-08-05T10:34:00Z</dcterms:created>
  <dc:creator>奔跑的五花肉</dc:creator>
  <cp:lastModifiedBy>奔跑的五花肉</cp:lastModifiedBy>
  <dcterms:modified xsi:type="dcterms:W3CDTF">2022-08-05T10:34:40Z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56274D3526A6422B860D3686FD616A63</vt:lpwstr>
  </property>
</Properties>
</file>