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75C6F">
      <w:pPr>
        <w:jc w:val="center"/>
        <w:rPr>
          <w:rFonts w:hint="eastAsia"/>
          <w:b/>
          <w:bCs/>
        </w:rPr>
      </w:pPr>
    </w:p>
    <w:p w14:paraId="65F97FEF">
      <w:pPr>
        <w:jc w:val="center"/>
        <w:rPr>
          <w:rFonts w:hint="eastAsia"/>
          <w:b/>
          <w:bCs/>
        </w:rPr>
      </w:pPr>
    </w:p>
    <w:p w14:paraId="17E991B4">
      <w:pPr>
        <w:jc w:val="center"/>
        <w:rPr>
          <w:rFonts w:hint="eastAsia"/>
          <w:b/>
          <w:bCs/>
        </w:rPr>
      </w:pPr>
    </w:p>
    <w:p w14:paraId="7BFEBCAA">
      <w:pPr>
        <w:jc w:val="center"/>
        <w:rPr>
          <w:rFonts w:hint="eastAsia"/>
          <w:b/>
          <w:bCs/>
        </w:rPr>
      </w:pPr>
    </w:p>
    <w:p w14:paraId="754BF9E6">
      <w:pPr>
        <w:jc w:val="center"/>
        <w:rPr>
          <w:rFonts w:hint="eastAsia"/>
          <w:b/>
          <w:bCs/>
        </w:rPr>
      </w:pPr>
    </w:p>
    <w:p w14:paraId="4B0BDC4C">
      <w:pPr>
        <w:jc w:val="center"/>
        <w:rPr>
          <w:rFonts w:hint="eastAsia"/>
          <w:b/>
          <w:bCs/>
        </w:rPr>
      </w:pPr>
    </w:p>
    <w:p w14:paraId="50D7F750">
      <w:pPr>
        <w:jc w:val="center"/>
        <w:rPr>
          <w:rFonts w:hint="eastAsia"/>
          <w:b/>
          <w:bCs/>
        </w:rPr>
      </w:pPr>
    </w:p>
    <w:p w14:paraId="2EE0D4F1">
      <w:pPr>
        <w:jc w:val="center"/>
        <w:rPr>
          <w:rFonts w:hint="eastAsia"/>
          <w:b/>
          <w:bCs/>
        </w:rPr>
      </w:pPr>
    </w:p>
    <w:p w14:paraId="61144E62">
      <w:pPr>
        <w:jc w:val="center"/>
        <w:rPr>
          <w:rFonts w:hint="eastAsia"/>
          <w:b/>
          <w:bCs/>
        </w:rPr>
      </w:pPr>
    </w:p>
    <w:p w14:paraId="5D489DA5">
      <w:pPr>
        <w:jc w:val="center"/>
        <w:rPr>
          <w:rFonts w:hint="eastAsia"/>
          <w:b/>
          <w:bCs/>
        </w:rPr>
      </w:pPr>
    </w:p>
    <w:p w14:paraId="67D5B34C">
      <w:pPr>
        <w:jc w:val="center"/>
        <w:rPr>
          <w:rFonts w:hint="eastAsia"/>
          <w:b/>
          <w:bCs/>
        </w:rPr>
      </w:pPr>
    </w:p>
    <w:p w14:paraId="4F123FC4">
      <w:pPr>
        <w:jc w:val="center"/>
        <w:rPr>
          <w:rFonts w:hint="eastAsia"/>
          <w:b/>
          <w:bCs/>
        </w:rPr>
      </w:pPr>
    </w:p>
    <w:p w14:paraId="22DE84C1">
      <w:pPr>
        <w:jc w:val="center"/>
        <w:rPr>
          <w:rFonts w:hint="eastAsia"/>
          <w:b/>
          <w:bCs/>
        </w:rPr>
      </w:pPr>
    </w:p>
    <w:p w14:paraId="6EA388B5">
      <w:pPr>
        <w:jc w:val="center"/>
        <w:rPr>
          <w:rFonts w:hint="eastAsia"/>
          <w:b/>
          <w:bCs/>
        </w:rPr>
      </w:pPr>
    </w:p>
    <w:p w14:paraId="0595723C">
      <w:pPr>
        <w:jc w:val="center"/>
        <w:rPr>
          <w:rFonts w:hint="eastAsia"/>
          <w:b/>
          <w:bCs/>
        </w:rPr>
      </w:pPr>
    </w:p>
    <w:p w14:paraId="5588558A">
      <w:pPr>
        <w:jc w:val="center"/>
        <w:rPr>
          <w:rFonts w:hint="eastAsia"/>
          <w:b/>
          <w:bCs/>
        </w:rPr>
      </w:pPr>
    </w:p>
    <w:p w14:paraId="5DCFF4FF">
      <w:pPr>
        <w:jc w:val="center"/>
        <w:rPr>
          <w:rFonts w:hint="eastAsia"/>
          <w:b/>
          <w:bCs/>
        </w:rPr>
      </w:pPr>
    </w:p>
    <w:p w14:paraId="63840CAE">
      <w:pPr>
        <w:jc w:val="center"/>
        <w:rPr>
          <w:rFonts w:hint="eastAsia"/>
          <w:b/>
          <w:bCs/>
        </w:rPr>
      </w:pPr>
    </w:p>
    <w:p w14:paraId="45549E98">
      <w:pPr>
        <w:jc w:val="center"/>
        <w:rPr>
          <w:rFonts w:hint="eastAsia"/>
          <w:b/>
          <w:bCs/>
        </w:rPr>
      </w:pPr>
    </w:p>
    <w:p w14:paraId="15B3773B">
      <w:pPr>
        <w:jc w:val="both"/>
        <w:rPr>
          <w:rFonts w:hint="eastAsia"/>
          <w:b/>
          <w:bCs/>
          <w:sz w:val="96"/>
          <w:szCs w:val="144"/>
        </w:rPr>
      </w:pPr>
    </w:p>
    <w:p w14:paraId="6EA3A6A5">
      <w:pPr>
        <w:jc w:val="center"/>
        <w:rPr>
          <w:rFonts w:hint="eastAsia"/>
          <w:b/>
          <w:bCs/>
          <w:sz w:val="96"/>
          <w:szCs w:val="144"/>
        </w:rPr>
      </w:pPr>
      <w:bookmarkStart w:id="0" w:name="_GoBack"/>
      <w:r>
        <w:rPr>
          <w:rFonts w:hint="eastAsia"/>
          <w:b/>
          <w:bCs/>
          <w:sz w:val="96"/>
          <w:szCs w:val="144"/>
        </w:rPr>
        <w:t>附件-采购预算清单</w:t>
      </w:r>
    </w:p>
    <w:bookmarkEnd w:id="0"/>
    <w:tbl>
      <w:tblPr>
        <w:tblStyle w:val="3"/>
        <w:tblW w:w="9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32" w:type="dxa"/>
          <w:left w:w="64" w:type="dxa"/>
          <w:bottom w:w="32" w:type="dxa"/>
          <w:right w:w="64" w:type="dxa"/>
        </w:tblCellMar>
      </w:tblPr>
      <w:tblGrid>
        <w:gridCol w:w="390"/>
        <w:gridCol w:w="1643"/>
        <w:gridCol w:w="4882"/>
        <w:gridCol w:w="544"/>
        <w:gridCol w:w="628"/>
        <w:gridCol w:w="1429"/>
      </w:tblGrid>
      <w:tr w14:paraId="02B83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02" w:hRule="atLeast"/>
          <w:jc w:val="center"/>
        </w:trPr>
        <w:tc>
          <w:tcPr>
            <w:tcW w:w="390" w:type="dxa"/>
            <w:tcBorders>
              <w:top w:val="nil"/>
              <w:left w:val="nil"/>
              <w:bottom w:val="nil"/>
              <w:right w:val="nil"/>
            </w:tcBorders>
            <w:noWrap w:val="0"/>
            <w:vAlign w:val="center"/>
          </w:tcPr>
          <w:p w14:paraId="6B911963">
            <w:pPr>
              <w:keepNext/>
              <w:keepLines w:val="0"/>
              <w:widowControl/>
              <w:suppressLineNumbers w:val="0"/>
              <w:snapToGrid w:val="0"/>
              <w:jc w:val="center"/>
              <w:textAlignment w:val="center"/>
              <w:rPr>
                <w:rFonts w:ascii="黑体" w:hAnsi="宋体" w:eastAsia="黑体" w:cs="黑体"/>
                <w:b/>
                <w:i w:val="0"/>
                <w:iCs w:val="0"/>
                <w:color w:val="000000"/>
                <w:sz w:val="24"/>
                <w:szCs w:val="24"/>
                <w:highlight w:val="none"/>
                <w:u w:val="none"/>
              </w:rPr>
            </w:pPr>
            <w:r>
              <w:rPr>
                <w:rFonts w:hint="eastAsia" w:ascii="黑体" w:hAnsi="宋体" w:eastAsia="黑体" w:cs="黑体"/>
                <w:b/>
                <w:i w:val="0"/>
                <w:iCs w:val="0"/>
                <w:color w:val="000000"/>
                <w:kern w:val="0"/>
                <w:sz w:val="24"/>
                <w:szCs w:val="24"/>
                <w:highlight w:val="none"/>
                <w:u w:val="none"/>
                <w:lang w:val="en-US" w:eastAsia="zh-CN" w:bidi="ar"/>
              </w:rPr>
              <w:t>序号</w:t>
            </w:r>
          </w:p>
        </w:tc>
        <w:tc>
          <w:tcPr>
            <w:tcW w:w="1643" w:type="dxa"/>
            <w:tcBorders>
              <w:top w:val="nil"/>
              <w:left w:val="nil"/>
              <w:bottom w:val="nil"/>
              <w:right w:val="nil"/>
            </w:tcBorders>
            <w:noWrap w:val="0"/>
            <w:vAlign w:val="center"/>
          </w:tcPr>
          <w:p w14:paraId="44EB82EB">
            <w:pPr>
              <w:keepNext/>
              <w:keepLines w:val="0"/>
              <w:widowControl/>
              <w:suppressLineNumbers w:val="0"/>
              <w:snapToGrid w:val="0"/>
              <w:jc w:val="center"/>
              <w:textAlignment w:val="center"/>
              <w:rPr>
                <w:rFonts w:hint="eastAsia" w:ascii="黑体" w:hAnsi="宋体" w:eastAsia="黑体" w:cs="黑体"/>
                <w:b/>
                <w:i w:val="0"/>
                <w:iCs w:val="0"/>
                <w:color w:val="000000"/>
                <w:sz w:val="24"/>
                <w:szCs w:val="24"/>
                <w:highlight w:val="none"/>
                <w:u w:val="none"/>
              </w:rPr>
            </w:pPr>
            <w:r>
              <w:rPr>
                <w:rFonts w:hint="eastAsia" w:ascii="黑体" w:hAnsi="宋体" w:eastAsia="黑体" w:cs="黑体"/>
                <w:b/>
                <w:i w:val="0"/>
                <w:iCs w:val="0"/>
                <w:color w:val="000000"/>
                <w:kern w:val="0"/>
                <w:sz w:val="24"/>
                <w:szCs w:val="24"/>
                <w:highlight w:val="none"/>
                <w:u w:val="none"/>
                <w:lang w:val="en-US" w:eastAsia="zh-CN" w:bidi="ar"/>
              </w:rPr>
              <w:t>产品分类</w:t>
            </w:r>
          </w:p>
        </w:tc>
        <w:tc>
          <w:tcPr>
            <w:tcW w:w="4882" w:type="dxa"/>
            <w:tcBorders>
              <w:top w:val="nil"/>
              <w:left w:val="nil"/>
              <w:bottom w:val="nil"/>
              <w:right w:val="nil"/>
            </w:tcBorders>
            <w:noWrap w:val="0"/>
            <w:vAlign w:val="center"/>
          </w:tcPr>
          <w:p w14:paraId="43F9C88C">
            <w:pPr>
              <w:keepNext/>
              <w:keepLines w:val="0"/>
              <w:widowControl/>
              <w:suppressLineNumbers w:val="0"/>
              <w:snapToGrid w:val="0"/>
              <w:jc w:val="center"/>
              <w:textAlignment w:val="center"/>
              <w:rPr>
                <w:rFonts w:hint="eastAsia" w:ascii="黑体" w:hAnsi="宋体" w:eastAsia="黑体" w:cs="黑体"/>
                <w:b/>
                <w:i w:val="0"/>
                <w:iCs w:val="0"/>
                <w:color w:val="000000"/>
                <w:sz w:val="24"/>
                <w:szCs w:val="24"/>
                <w:highlight w:val="none"/>
                <w:u w:val="none"/>
              </w:rPr>
            </w:pPr>
            <w:r>
              <w:rPr>
                <w:rFonts w:hint="eastAsia" w:ascii="黑体" w:hAnsi="宋体" w:eastAsia="黑体" w:cs="黑体"/>
                <w:b/>
                <w:i w:val="0"/>
                <w:iCs w:val="0"/>
                <w:color w:val="000000"/>
                <w:kern w:val="0"/>
                <w:sz w:val="24"/>
                <w:szCs w:val="24"/>
                <w:highlight w:val="none"/>
                <w:u w:val="none"/>
                <w:lang w:val="en-US" w:eastAsia="zh-CN" w:bidi="ar"/>
              </w:rPr>
              <w:t>功能描述</w:t>
            </w:r>
          </w:p>
        </w:tc>
        <w:tc>
          <w:tcPr>
            <w:tcW w:w="544" w:type="dxa"/>
            <w:tcBorders>
              <w:top w:val="nil"/>
              <w:left w:val="nil"/>
              <w:bottom w:val="nil"/>
              <w:right w:val="nil"/>
            </w:tcBorders>
            <w:noWrap w:val="0"/>
            <w:vAlign w:val="center"/>
          </w:tcPr>
          <w:p w14:paraId="40491E6D">
            <w:pPr>
              <w:keepNext/>
              <w:keepLines w:val="0"/>
              <w:widowControl/>
              <w:suppressLineNumbers w:val="0"/>
              <w:snapToGrid w:val="0"/>
              <w:jc w:val="center"/>
              <w:textAlignment w:val="center"/>
              <w:rPr>
                <w:rFonts w:hint="eastAsia" w:ascii="黑体" w:hAnsi="宋体" w:eastAsia="黑体" w:cs="黑体"/>
                <w:b/>
                <w:i w:val="0"/>
                <w:iCs w:val="0"/>
                <w:color w:val="000000"/>
                <w:sz w:val="24"/>
                <w:szCs w:val="24"/>
                <w:highlight w:val="none"/>
                <w:u w:val="none"/>
              </w:rPr>
            </w:pPr>
            <w:r>
              <w:rPr>
                <w:rFonts w:hint="eastAsia" w:ascii="黑体" w:hAnsi="宋体" w:eastAsia="黑体" w:cs="黑体"/>
                <w:b/>
                <w:i w:val="0"/>
                <w:iCs w:val="0"/>
                <w:color w:val="000000"/>
                <w:kern w:val="0"/>
                <w:sz w:val="24"/>
                <w:szCs w:val="24"/>
                <w:highlight w:val="none"/>
                <w:u w:val="none"/>
                <w:lang w:val="en-US" w:eastAsia="zh-CN" w:bidi="ar"/>
              </w:rPr>
              <w:t>数量</w:t>
            </w:r>
          </w:p>
        </w:tc>
        <w:tc>
          <w:tcPr>
            <w:tcW w:w="628" w:type="dxa"/>
            <w:tcBorders>
              <w:top w:val="nil"/>
              <w:left w:val="nil"/>
              <w:bottom w:val="nil"/>
              <w:right w:val="nil"/>
            </w:tcBorders>
            <w:noWrap w:val="0"/>
            <w:vAlign w:val="center"/>
          </w:tcPr>
          <w:p w14:paraId="75310A46">
            <w:pPr>
              <w:keepNext/>
              <w:keepLines w:val="0"/>
              <w:widowControl/>
              <w:suppressLineNumbers w:val="0"/>
              <w:snapToGrid w:val="0"/>
              <w:jc w:val="center"/>
              <w:textAlignment w:val="center"/>
              <w:rPr>
                <w:rFonts w:hint="eastAsia" w:ascii="黑体" w:hAnsi="宋体" w:eastAsia="黑体" w:cs="黑体"/>
                <w:b/>
                <w:i w:val="0"/>
                <w:iCs w:val="0"/>
                <w:color w:val="000000"/>
                <w:sz w:val="24"/>
                <w:szCs w:val="24"/>
                <w:highlight w:val="none"/>
                <w:u w:val="none"/>
              </w:rPr>
            </w:pPr>
            <w:r>
              <w:rPr>
                <w:rFonts w:hint="eastAsia" w:ascii="黑体" w:hAnsi="宋体" w:eastAsia="黑体" w:cs="黑体"/>
                <w:b/>
                <w:i w:val="0"/>
                <w:iCs w:val="0"/>
                <w:color w:val="000000"/>
                <w:kern w:val="0"/>
                <w:sz w:val="24"/>
                <w:szCs w:val="24"/>
                <w:highlight w:val="none"/>
                <w:u w:val="none"/>
                <w:lang w:val="en-US" w:eastAsia="zh-CN" w:bidi="ar"/>
              </w:rPr>
              <w:t>单位</w:t>
            </w:r>
          </w:p>
        </w:tc>
        <w:tc>
          <w:tcPr>
            <w:tcW w:w="1429" w:type="dxa"/>
            <w:tcBorders>
              <w:top w:val="nil"/>
              <w:left w:val="nil"/>
              <w:bottom w:val="nil"/>
              <w:right w:val="nil"/>
            </w:tcBorders>
            <w:noWrap w:val="0"/>
            <w:vAlign w:val="center"/>
          </w:tcPr>
          <w:p w14:paraId="31F430F5">
            <w:pPr>
              <w:keepNext/>
              <w:keepLines w:val="0"/>
              <w:widowControl/>
              <w:suppressLineNumbers w:val="0"/>
              <w:snapToGrid w:val="0"/>
              <w:jc w:val="center"/>
              <w:textAlignment w:val="center"/>
              <w:rPr>
                <w:rFonts w:hint="default" w:ascii="黑体" w:hAnsi="宋体" w:eastAsia="黑体" w:cs="黑体"/>
                <w:b/>
                <w:i w:val="0"/>
                <w:iCs w:val="0"/>
                <w:color w:val="000000"/>
                <w:kern w:val="0"/>
                <w:sz w:val="24"/>
                <w:szCs w:val="24"/>
                <w:highlight w:val="none"/>
                <w:u w:val="none"/>
                <w:lang w:val="en-US" w:eastAsia="zh-CN" w:bidi="ar"/>
              </w:rPr>
            </w:pPr>
            <w:r>
              <w:rPr>
                <w:rFonts w:hint="eastAsia" w:ascii="黑体" w:hAnsi="宋体" w:eastAsia="黑体" w:cs="黑体"/>
                <w:b/>
                <w:i w:val="0"/>
                <w:iCs w:val="0"/>
                <w:color w:val="0000FF"/>
                <w:kern w:val="0"/>
                <w:sz w:val="24"/>
                <w:szCs w:val="24"/>
                <w:highlight w:val="none"/>
                <w:u w:val="none"/>
                <w:lang w:val="en-US" w:eastAsia="zh-CN" w:bidi="ar"/>
              </w:rPr>
              <w:t>价格</w:t>
            </w:r>
          </w:p>
        </w:tc>
      </w:tr>
      <w:tr w14:paraId="1BF8E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05EADDCF">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一</w:t>
            </w:r>
          </w:p>
        </w:tc>
        <w:tc>
          <w:tcPr>
            <w:tcW w:w="6525" w:type="dxa"/>
            <w:gridSpan w:val="2"/>
            <w:tcBorders>
              <w:top w:val="nil"/>
              <w:left w:val="nil"/>
              <w:bottom w:val="nil"/>
              <w:right w:val="nil"/>
            </w:tcBorders>
            <w:shd w:val="clear" w:color="auto" w:fill="D9D9D9"/>
            <w:noWrap/>
            <w:vAlign w:val="center"/>
          </w:tcPr>
          <w:p w14:paraId="0D4D7D32">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票务系统整体框架升级</w:t>
            </w:r>
          </w:p>
        </w:tc>
        <w:tc>
          <w:tcPr>
            <w:tcW w:w="544" w:type="dxa"/>
            <w:tcBorders>
              <w:top w:val="nil"/>
              <w:left w:val="nil"/>
              <w:bottom w:val="nil"/>
              <w:right w:val="nil"/>
            </w:tcBorders>
            <w:shd w:val="clear" w:color="auto" w:fill="D9D9D9"/>
            <w:noWrap/>
            <w:vAlign w:val="center"/>
          </w:tcPr>
          <w:p w14:paraId="285ECC5D">
            <w:pPr>
              <w:keepNext/>
              <w:snapToGrid w:val="0"/>
              <w:jc w:val="left"/>
              <w:rPr>
                <w:rFonts w:hint="eastAsia" w:ascii="等线" w:hAnsi="宋体" w:eastAsia="等线" w:cs="黑体"/>
                <w:i w:val="0"/>
                <w:iCs w:val="0"/>
                <w:color w:val="000000"/>
                <w:sz w:val="22"/>
                <w:szCs w:val="22"/>
                <w:highlight w:val="none"/>
                <w:u w:val="none"/>
              </w:rPr>
            </w:pPr>
          </w:p>
        </w:tc>
        <w:tc>
          <w:tcPr>
            <w:tcW w:w="628" w:type="dxa"/>
            <w:tcBorders>
              <w:top w:val="nil"/>
              <w:left w:val="nil"/>
              <w:bottom w:val="nil"/>
              <w:right w:val="nil"/>
            </w:tcBorders>
            <w:shd w:val="clear" w:color="auto" w:fill="D9D9D9"/>
            <w:noWrap/>
            <w:vAlign w:val="center"/>
          </w:tcPr>
          <w:p w14:paraId="755507E2">
            <w:pPr>
              <w:keepNext/>
              <w:snapToGrid w:val="0"/>
              <w:jc w:val="center"/>
              <w:rPr>
                <w:rFonts w:hint="eastAsia" w:ascii="等线" w:hAnsi="宋体" w:eastAsia="等线" w:cs="黑体"/>
                <w:i w:val="0"/>
                <w:iCs w:val="0"/>
                <w:color w:val="000000"/>
                <w:sz w:val="22"/>
                <w:szCs w:val="22"/>
                <w:highlight w:val="none"/>
                <w:u w:val="none"/>
              </w:rPr>
            </w:pPr>
          </w:p>
        </w:tc>
        <w:tc>
          <w:tcPr>
            <w:tcW w:w="1429" w:type="dxa"/>
            <w:tcBorders>
              <w:top w:val="nil"/>
              <w:left w:val="nil"/>
              <w:bottom w:val="nil"/>
              <w:right w:val="nil"/>
            </w:tcBorders>
            <w:shd w:val="clear" w:color="auto" w:fill="D9D9D9"/>
            <w:noWrap/>
            <w:vAlign w:val="center"/>
          </w:tcPr>
          <w:p w14:paraId="57C1F346">
            <w:pPr>
              <w:keepNext/>
              <w:snapToGrid w:val="0"/>
              <w:jc w:val="center"/>
              <w:rPr>
                <w:rFonts w:hint="eastAsia" w:ascii="等线" w:hAnsi="宋体" w:eastAsia="等线" w:cs="黑体"/>
                <w:i w:val="0"/>
                <w:iCs w:val="0"/>
                <w:color w:val="000000"/>
                <w:sz w:val="22"/>
                <w:szCs w:val="22"/>
                <w:highlight w:val="none"/>
                <w:u w:val="none"/>
              </w:rPr>
            </w:pPr>
          </w:p>
        </w:tc>
      </w:tr>
      <w:tr w14:paraId="73318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83" w:hRule="atLeast"/>
          <w:jc w:val="center"/>
        </w:trPr>
        <w:tc>
          <w:tcPr>
            <w:tcW w:w="390" w:type="dxa"/>
            <w:tcBorders>
              <w:top w:val="nil"/>
              <w:left w:val="nil"/>
              <w:bottom w:val="nil"/>
              <w:right w:val="nil"/>
            </w:tcBorders>
            <w:noWrap/>
            <w:vAlign w:val="center"/>
          </w:tcPr>
          <w:p w14:paraId="709EA375">
            <w:pPr>
              <w:keepNext/>
              <w:keepLines w:val="0"/>
              <w:widowControl/>
              <w:suppressLineNumbers w:val="0"/>
              <w:snapToGrid w:val="0"/>
              <w:jc w:val="center"/>
              <w:textAlignment w:val="center"/>
              <w:rPr>
                <w:rFonts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1643" w:type="dxa"/>
            <w:tcBorders>
              <w:top w:val="nil"/>
              <w:left w:val="nil"/>
              <w:bottom w:val="nil"/>
              <w:right w:val="nil"/>
            </w:tcBorders>
            <w:noWrap w:val="0"/>
            <w:vAlign w:val="center"/>
          </w:tcPr>
          <w:p w14:paraId="710713D5">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升级多景区管理</w:t>
            </w:r>
          </w:p>
        </w:tc>
        <w:tc>
          <w:tcPr>
            <w:tcW w:w="4882" w:type="dxa"/>
            <w:tcBorders>
              <w:top w:val="nil"/>
              <w:left w:val="nil"/>
              <w:bottom w:val="nil"/>
              <w:right w:val="nil"/>
            </w:tcBorders>
            <w:noWrap w:val="0"/>
            <w:vAlign w:val="center"/>
          </w:tcPr>
          <w:p w14:paraId="74ACCE74">
            <w:pPr>
              <w:keepNext/>
              <w:keepLines w:val="0"/>
              <w:widowControl/>
              <w:suppressLineNumbers w:val="0"/>
              <w:snapToGrid w:val="0"/>
              <w:ind w:firstLine="440" w:firstLineChars="20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实现龙鳞宫与土司城后台独立管理，支持分别生成独立报表，同时支持两景区组合套票销售与核销，并报表实现套票拆分计算票价。</w:t>
            </w:r>
          </w:p>
        </w:tc>
        <w:tc>
          <w:tcPr>
            <w:tcW w:w="544" w:type="dxa"/>
            <w:tcBorders>
              <w:top w:val="nil"/>
              <w:left w:val="nil"/>
              <w:bottom w:val="nil"/>
              <w:right w:val="nil"/>
            </w:tcBorders>
            <w:noWrap/>
            <w:vAlign w:val="center"/>
          </w:tcPr>
          <w:p w14:paraId="7BEB39D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4384A80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012CE7AC">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68000</w:t>
            </w:r>
          </w:p>
        </w:tc>
      </w:tr>
      <w:tr w14:paraId="51045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58" w:hRule="atLeast"/>
          <w:jc w:val="center"/>
        </w:trPr>
        <w:tc>
          <w:tcPr>
            <w:tcW w:w="390" w:type="dxa"/>
            <w:tcBorders>
              <w:top w:val="nil"/>
              <w:left w:val="nil"/>
              <w:bottom w:val="nil"/>
              <w:right w:val="nil"/>
            </w:tcBorders>
            <w:noWrap/>
            <w:vAlign w:val="center"/>
          </w:tcPr>
          <w:p w14:paraId="3C6913C5">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w:t>
            </w:r>
          </w:p>
        </w:tc>
        <w:tc>
          <w:tcPr>
            <w:tcW w:w="1643" w:type="dxa"/>
            <w:tcBorders>
              <w:top w:val="nil"/>
              <w:left w:val="nil"/>
              <w:bottom w:val="nil"/>
              <w:right w:val="nil"/>
            </w:tcBorders>
            <w:noWrap w:val="0"/>
            <w:vAlign w:val="center"/>
          </w:tcPr>
          <w:p w14:paraId="3526707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支付流水自动对账</w:t>
            </w:r>
          </w:p>
        </w:tc>
        <w:tc>
          <w:tcPr>
            <w:tcW w:w="4882" w:type="dxa"/>
            <w:tcBorders>
              <w:top w:val="nil"/>
              <w:left w:val="nil"/>
              <w:bottom w:val="nil"/>
              <w:right w:val="nil"/>
            </w:tcBorders>
            <w:noWrap w:val="0"/>
            <w:vAlign w:val="center"/>
          </w:tcPr>
          <w:p w14:paraId="6456BA2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1、支持上传支付流水 Excel。</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2、系统按“流水订单号=系统订单号”自动比对金额。</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3、页面根据对账结果对应显示：</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已对账：金额一致；</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金额差异：流水与系统金额不符；</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单边账：有流水无订单 / 有订单无流水。</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4、点击任一栏目，展开对应订单明细列表：</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订单号 | 系统金额 | 流水金额 | 差异 | 状态。</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5、 一键导出当前明细为 Excel，供财务留存。</w:t>
            </w:r>
          </w:p>
        </w:tc>
        <w:tc>
          <w:tcPr>
            <w:tcW w:w="544" w:type="dxa"/>
            <w:tcBorders>
              <w:top w:val="nil"/>
              <w:left w:val="nil"/>
              <w:bottom w:val="nil"/>
              <w:right w:val="nil"/>
            </w:tcBorders>
            <w:noWrap/>
            <w:vAlign w:val="center"/>
          </w:tcPr>
          <w:p w14:paraId="2B29F16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54C1B3B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018A78EF">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50000</w:t>
            </w:r>
          </w:p>
        </w:tc>
      </w:tr>
      <w:tr w14:paraId="2BDAC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4A00E79E">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二</w:t>
            </w:r>
          </w:p>
        </w:tc>
        <w:tc>
          <w:tcPr>
            <w:tcW w:w="6525" w:type="dxa"/>
            <w:gridSpan w:val="2"/>
            <w:tcBorders>
              <w:top w:val="nil"/>
              <w:left w:val="nil"/>
              <w:bottom w:val="nil"/>
              <w:right w:val="nil"/>
            </w:tcBorders>
            <w:shd w:val="clear" w:color="auto" w:fill="D9D9D9"/>
            <w:noWrap/>
            <w:vAlign w:val="center"/>
          </w:tcPr>
          <w:p w14:paraId="6C24E2D4">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旅行社后台升级</w:t>
            </w:r>
          </w:p>
        </w:tc>
        <w:tc>
          <w:tcPr>
            <w:tcW w:w="544" w:type="dxa"/>
            <w:tcBorders>
              <w:top w:val="nil"/>
              <w:left w:val="nil"/>
              <w:bottom w:val="nil"/>
              <w:right w:val="nil"/>
            </w:tcBorders>
            <w:shd w:val="clear" w:color="auto" w:fill="D9D9D9"/>
            <w:noWrap/>
            <w:vAlign w:val="center"/>
          </w:tcPr>
          <w:p w14:paraId="7CEFB272">
            <w:pPr>
              <w:keepNext/>
              <w:snapToGrid w:val="0"/>
              <w:jc w:val="left"/>
              <w:rPr>
                <w:rFonts w:hint="eastAsia" w:ascii="等线" w:hAnsi="宋体" w:eastAsia="等线" w:cs="黑体"/>
                <w:i w:val="0"/>
                <w:iCs w:val="0"/>
                <w:color w:val="000000"/>
                <w:sz w:val="22"/>
                <w:szCs w:val="22"/>
                <w:highlight w:val="none"/>
                <w:u w:val="none"/>
              </w:rPr>
            </w:pPr>
          </w:p>
        </w:tc>
        <w:tc>
          <w:tcPr>
            <w:tcW w:w="628" w:type="dxa"/>
            <w:tcBorders>
              <w:top w:val="nil"/>
              <w:left w:val="nil"/>
              <w:bottom w:val="nil"/>
              <w:right w:val="nil"/>
            </w:tcBorders>
            <w:shd w:val="clear" w:color="auto" w:fill="D9D9D9"/>
            <w:noWrap/>
            <w:vAlign w:val="center"/>
          </w:tcPr>
          <w:p w14:paraId="5D13C196">
            <w:pPr>
              <w:keepNext/>
              <w:snapToGrid w:val="0"/>
              <w:jc w:val="center"/>
              <w:rPr>
                <w:rFonts w:hint="eastAsia" w:ascii="等线" w:hAnsi="宋体" w:eastAsia="等线" w:cs="黑体"/>
                <w:i w:val="0"/>
                <w:iCs w:val="0"/>
                <w:color w:val="000000"/>
                <w:sz w:val="22"/>
                <w:szCs w:val="22"/>
                <w:highlight w:val="none"/>
                <w:u w:val="none"/>
              </w:rPr>
            </w:pPr>
          </w:p>
        </w:tc>
        <w:tc>
          <w:tcPr>
            <w:tcW w:w="1429" w:type="dxa"/>
            <w:tcBorders>
              <w:top w:val="nil"/>
              <w:left w:val="nil"/>
              <w:bottom w:val="nil"/>
              <w:right w:val="nil"/>
            </w:tcBorders>
            <w:shd w:val="clear" w:color="auto" w:fill="D9D9D9"/>
            <w:noWrap/>
            <w:vAlign w:val="center"/>
          </w:tcPr>
          <w:p w14:paraId="4431AA38">
            <w:pPr>
              <w:keepNext/>
              <w:snapToGrid w:val="0"/>
              <w:jc w:val="center"/>
              <w:rPr>
                <w:rFonts w:hint="eastAsia" w:ascii="等线" w:hAnsi="宋体" w:eastAsia="等线" w:cs="黑体"/>
                <w:i w:val="0"/>
                <w:iCs w:val="0"/>
                <w:color w:val="000000"/>
                <w:sz w:val="22"/>
                <w:szCs w:val="22"/>
                <w:highlight w:val="none"/>
                <w:u w:val="none"/>
              </w:rPr>
            </w:pPr>
          </w:p>
        </w:tc>
      </w:tr>
      <w:tr w14:paraId="05CFE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533" w:hRule="atLeast"/>
          <w:jc w:val="center"/>
        </w:trPr>
        <w:tc>
          <w:tcPr>
            <w:tcW w:w="390" w:type="dxa"/>
            <w:tcBorders>
              <w:top w:val="nil"/>
              <w:left w:val="nil"/>
              <w:bottom w:val="nil"/>
              <w:right w:val="nil"/>
            </w:tcBorders>
            <w:noWrap/>
            <w:vAlign w:val="center"/>
          </w:tcPr>
          <w:p w14:paraId="4AA73B0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3</w:t>
            </w:r>
          </w:p>
        </w:tc>
        <w:tc>
          <w:tcPr>
            <w:tcW w:w="1643" w:type="dxa"/>
            <w:tcBorders>
              <w:top w:val="nil"/>
              <w:left w:val="nil"/>
              <w:bottom w:val="nil"/>
              <w:right w:val="nil"/>
            </w:tcBorders>
            <w:noWrap w:val="0"/>
            <w:vAlign w:val="center"/>
          </w:tcPr>
          <w:p w14:paraId="0F2D935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部分退（新增总开关）</w:t>
            </w:r>
          </w:p>
        </w:tc>
        <w:tc>
          <w:tcPr>
            <w:tcW w:w="4882" w:type="dxa"/>
            <w:tcBorders>
              <w:top w:val="nil"/>
              <w:left w:val="nil"/>
              <w:bottom w:val="nil"/>
              <w:right w:val="nil"/>
            </w:tcBorders>
            <w:noWrap w:val="0"/>
            <w:vAlign w:val="center"/>
          </w:tcPr>
          <w:p w14:paraId="1EAB02F5">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1、开启后，旅行社在“订单详情”页面可对“整单中未核销的个别游客”发起单独退款，系统自动原路退回对应金额；</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2、关闭后，“部分退”按钮隐藏，所有退款必须整单退或走景区人工审核。</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3、开关即时生效，无需重启；景区拥有最终控制权。</w:t>
            </w:r>
          </w:p>
        </w:tc>
        <w:tc>
          <w:tcPr>
            <w:tcW w:w="544" w:type="dxa"/>
            <w:tcBorders>
              <w:top w:val="nil"/>
              <w:left w:val="nil"/>
              <w:bottom w:val="nil"/>
              <w:right w:val="nil"/>
            </w:tcBorders>
            <w:noWrap/>
            <w:vAlign w:val="center"/>
          </w:tcPr>
          <w:p w14:paraId="2B137BE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059A330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757AE5E8">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18000</w:t>
            </w:r>
          </w:p>
        </w:tc>
      </w:tr>
      <w:tr w14:paraId="14E40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08" w:hRule="atLeast"/>
          <w:jc w:val="center"/>
        </w:trPr>
        <w:tc>
          <w:tcPr>
            <w:tcW w:w="390" w:type="dxa"/>
            <w:tcBorders>
              <w:top w:val="nil"/>
              <w:left w:val="nil"/>
              <w:bottom w:val="nil"/>
              <w:right w:val="nil"/>
            </w:tcBorders>
            <w:noWrap/>
            <w:vAlign w:val="center"/>
          </w:tcPr>
          <w:p w14:paraId="29D9DDD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4</w:t>
            </w:r>
          </w:p>
        </w:tc>
        <w:tc>
          <w:tcPr>
            <w:tcW w:w="1643" w:type="dxa"/>
            <w:tcBorders>
              <w:top w:val="nil"/>
              <w:left w:val="nil"/>
              <w:bottom w:val="nil"/>
              <w:right w:val="nil"/>
            </w:tcBorders>
            <w:noWrap w:val="0"/>
            <w:vAlign w:val="center"/>
          </w:tcPr>
          <w:p w14:paraId="6B6FCC4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扫码付（新增总开关</w:t>
            </w:r>
          </w:p>
        </w:tc>
        <w:tc>
          <w:tcPr>
            <w:tcW w:w="4882" w:type="dxa"/>
            <w:tcBorders>
              <w:top w:val="nil"/>
              <w:left w:val="nil"/>
              <w:bottom w:val="nil"/>
              <w:right w:val="nil"/>
            </w:tcBorders>
            <w:noWrap w:val="0"/>
            <w:vAlign w:val="center"/>
          </w:tcPr>
          <w:p w14:paraId="642E0B63">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1、开启后，旅行社下单页新增“扫码支付”选项，生成动态二维码并启动 120 秒倒计时；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2、超时未支付订单自动取消；</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3、关闭后，仅保留“景区到付”与“余额支付”两种原方式。</w:t>
            </w:r>
          </w:p>
        </w:tc>
        <w:tc>
          <w:tcPr>
            <w:tcW w:w="544" w:type="dxa"/>
            <w:tcBorders>
              <w:top w:val="nil"/>
              <w:left w:val="nil"/>
              <w:bottom w:val="nil"/>
              <w:right w:val="nil"/>
            </w:tcBorders>
            <w:noWrap/>
            <w:vAlign w:val="center"/>
          </w:tcPr>
          <w:p w14:paraId="47EB5AA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08C1207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028F24BD">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15000</w:t>
            </w:r>
          </w:p>
        </w:tc>
      </w:tr>
      <w:tr w14:paraId="3B3DB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320" w:hRule="atLeast"/>
          <w:jc w:val="center"/>
        </w:trPr>
        <w:tc>
          <w:tcPr>
            <w:tcW w:w="390" w:type="dxa"/>
            <w:tcBorders>
              <w:top w:val="nil"/>
              <w:left w:val="nil"/>
              <w:bottom w:val="nil"/>
              <w:right w:val="nil"/>
            </w:tcBorders>
            <w:noWrap/>
            <w:vAlign w:val="center"/>
          </w:tcPr>
          <w:p w14:paraId="4F867CF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5</w:t>
            </w:r>
          </w:p>
        </w:tc>
        <w:tc>
          <w:tcPr>
            <w:tcW w:w="1643" w:type="dxa"/>
            <w:tcBorders>
              <w:top w:val="nil"/>
              <w:left w:val="nil"/>
              <w:bottom w:val="nil"/>
              <w:right w:val="nil"/>
            </w:tcBorders>
            <w:noWrap w:val="0"/>
            <w:vAlign w:val="center"/>
          </w:tcPr>
          <w:p w14:paraId="7652EEE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导出订单（Excel）</w:t>
            </w:r>
          </w:p>
        </w:tc>
        <w:tc>
          <w:tcPr>
            <w:tcW w:w="4882" w:type="dxa"/>
            <w:tcBorders>
              <w:top w:val="nil"/>
              <w:left w:val="nil"/>
              <w:bottom w:val="nil"/>
              <w:right w:val="nil"/>
            </w:tcBorders>
            <w:noWrap w:val="0"/>
            <w:vAlign w:val="center"/>
          </w:tcPr>
          <w:p w14:paraId="0870CB30">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1、限制：默认仅允许 19:00-24:00 导出，避免高峰；景区超级管理员可在【系统参数-安全时段】自定义或取消限制。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2、文件格式：标准 Excel（.xlsx），字段包含订单号、游客姓名、证件号、票种、数量、金额、支付状态、核销状态、旅行社名称等。</w:t>
            </w:r>
          </w:p>
        </w:tc>
        <w:tc>
          <w:tcPr>
            <w:tcW w:w="544" w:type="dxa"/>
            <w:tcBorders>
              <w:top w:val="nil"/>
              <w:left w:val="nil"/>
              <w:bottom w:val="nil"/>
              <w:right w:val="nil"/>
            </w:tcBorders>
            <w:noWrap/>
            <w:vAlign w:val="center"/>
          </w:tcPr>
          <w:p w14:paraId="153B5CB5">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60515FD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050DC94F">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10000</w:t>
            </w:r>
          </w:p>
        </w:tc>
      </w:tr>
      <w:tr w14:paraId="7E2D9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79DB8FE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6</w:t>
            </w:r>
          </w:p>
        </w:tc>
        <w:tc>
          <w:tcPr>
            <w:tcW w:w="1643" w:type="dxa"/>
            <w:tcBorders>
              <w:top w:val="nil"/>
              <w:left w:val="nil"/>
              <w:bottom w:val="nil"/>
              <w:right w:val="nil"/>
            </w:tcBorders>
            <w:noWrap w:val="0"/>
            <w:vAlign w:val="center"/>
          </w:tcPr>
          <w:p w14:paraId="3A8E688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报表排序与自动汇总</w:t>
            </w:r>
          </w:p>
        </w:tc>
        <w:tc>
          <w:tcPr>
            <w:tcW w:w="4882" w:type="dxa"/>
            <w:tcBorders>
              <w:top w:val="nil"/>
              <w:left w:val="nil"/>
              <w:bottom w:val="nil"/>
              <w:right w:val="nil"/>
            </w:tcBorders>
            <w:noWrap w:val="0"/>
            <w:vAlign w:val="center"/>
          </w:tcPr>
          <w:p w14:paraId="33F84A4E">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1、任意字段（金额、人数、下单时间、退单率等）支持升/降序一键排序；</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2、系统自动汇总下属全部旅行社数据；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3、支持导出当前排序结果。</w:t>
            </w:r>
          </w:p>
        </w:tc>
        <w:tc>
          <w:tcPr>
            <w:tcW w:w="544" w:type="dxa"/>
            <w:tcBorders>
              <w:top w:val="nil"/>
              <w:left w:val="nil"/>
              <w:bottom w:val="nil"/>
              <w:right w:val="nil"/>
            </w:tcBorders>
            <w:noWrap/>
            <w:vAlign w:val="center"/>
          </w:tcPr>
          <w:p w14:paraId="1B182D3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3ACF80AF">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45CBA5C1">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8000</w:t>
            </w:r>
          </w:p>
        </w:tc>
      </w:tr>
      <w:tr w14:paraId="739ED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745" w:hRule="atLeast"/>
          <w:jc w:val="center"/>
        </w:trPr>
        <w:tc>
          <w:tcPr>
            <w:tcW w:w="390" w:type="dxa"/>
            <w:tcBorders>
              <w:top w:val="nil"/>
              <w:left w:val="nil"/>
              <w:bottom w:val="nil"/>
              <w:right w:val="nil"/>
            </w:tcBorders>
            <w:noWrap/>
            <w:vAlign w:val="center"/>
          </w:tcPr>
          <w:p w14:paraId="5782287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7</w:t>
            </w:r>
          </w:p>
        </w:tc>
        <w:tc>
          <w:tcPr>
            <w:tcW w:w="1643" w:type="dxa"/>
            <w:tcBorders>
              <w:top w:val="nil"/>
              <w:left w:val="nil"/>
              <w:bottom w:val="nil"/>
              <w:right w:val="nil"/>
            </w:tcBorders>
            <w:noWrap w:val="0"/>
            <w:vAlign w:val="center"/>
          </w:tcPr>
          <w:p w14:paraId="52397E1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名单导入模板</w:t>
            </w:r>
          </w:p>
        </w:tc>
        <w:tc>
          <w:tcPr>
            <w:tcW w:w="4882" w:type="dxa"/>
            <w:tcBorders>
              <w:top w:val="nil"/>
              <w:left w:val="nil"/>
              <w:bottom w:val="nil"/>
              <w:right w:val="nil"/>
            </w:tcBorders>
            <w:noWrap w:val="0"/>
            <w:vAlign w:val="center"/>
          </w:tcPr>
          <w:p w14:paraId="445E20E1">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1、模板固定为 4 列：姓名、证件号、证件类型、手机号（选填）。</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2、系统自动校验：</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证件号合法性（身份证/护照规则）；</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一人一票制下是否重复；</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是否符合对应票种年龄/地域限制。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3、错误数据即时弹窗提示行号与原因，支持在线网页修正错误数据后，重新提交。</w:t>
            </w:r>
          </w:p>
        </w:tc>
        <w:tc>
          <w:tcPr>
            <w:tcW w:w="544" w:type="dxa"/>
            <w:tcBorders>
              <w:top w:val="nil"/>
              <w:left w:val="nil"/>
              <w:bottom w:val="nil"/>
              <w:right w:val="nil"/>
            </w:tcBorders>
            <w:noWrap/>
            <w:vAlign w:val="center"/>
          </w:tcPr>
          <w:p w14:paraId="2B1A647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7DA1783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7335BE7F">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7000</w:t>
            </w:r>
          </w:p>
        </w:tc>
      </w:tr>
      <w:tr w14:paraId="2E1D2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69" w:hRule="atLeast"/>
          <w:jc w:val="center"/>
        </w:trPr>
        <w:tc>
          <w:tcPr>
            <w:tcW w:w="390" w:type="dxa"/>
            <w:tcBorders>
              <w:top w:val="nil"/>
              <w:left w:val="nil"/>
              <w:bottom w:val="nil"/>
              <w:right w:val="nil"/>
            </w:tcBorders>
            <w:noWrap/>
            <w:vAlign w:val="center"/>
          </w:tcPr>
          <w:p w14:paraId="2481F42F">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8</w:t>
            </w:r>
          </w:p>
        </w:tc>
        <w:tc>
          <w:tcPr>
            <w:tcW w:w="1643" w:type="dxa"/>
            <w:tcBorders>
              <w:top w:val="nil"/>
              <w:left w:val="nil"/>
              <w:bottom w:val="nil"/>
              <w:right w:val="nil"/>
            </w:tcBorders>
            <w:noWrap w:val="0"/>
            <w:vAlign w:val="center"/>
          </w:tcPr>
          <w:p w14:paraId="22E0B8F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导游库（常用导游名单）</w:t>
            </w:r>
          </w:p>
        </w:tc>
        <w:tc>
          <w:tcPr>
            <w:tcW w:w="4882" w:type="dxa"/>
            <w:tcBorders>
              <w:top w:val="nil"/>
              <w:left w:val="nil"/>
              <w:bottom w:val="nil"/>
              <w:right w:val="nil"/>
            </w:tcBorders>
            <w:noWrap w:val="0"/>
            <w:vAlign w:val="center"/>
          </w:tcPr>
          <w:p w14:paraId="611AC1AE">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1、每个旅行社账号内的导游库独立维护。</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2、添加方式：单条录入或批量 Excel 导入。</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3、下单时自动带出“常用导游”下拉框，选中后姓名、证件号、手机号自动填充，减少重复录入。</w:t>
            </w:r>
          </w:p>
        </w:tc>
        <w:tc>
          <w:tcPr>
            <w:tcW w:w="544" w:type="dxa"/>
            <w:tcBorders>
              <w:top w:val="nil"/>
              <w:left w:val="nil"/>
              <w:bottom w:val="nil"/>
              <w:right w:val="nil"/>
            </w:tcBorders>
            <w:noWrap/>
            <w:vAlign w:val="center"/>
          </w:tcPr>
          <w:p w14:paraId="549C1C3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5F8688F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4A57904D">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7200</w:t>
            </w:r>
          </w:p>
        </w:tc>
      </w:tr>
      <w:tr w14:paraId="054D1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7ACFF75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9</w:t>
            </w:r>
          </w:p>
        </w:tc>
        <w:tc>
          <w:tcPr>
            <w:tcW w:w="1643" w:type="dxa"/>
            <w:tcBorders>
              <w:top w:val="nil"/>
              <w:left w:val="nil"/>
              <w:bottom w:val="nil"/>
              <w:right w:val="nil"/>
            </w:tcBorders>
            <w:noWrap w:val="0"/>
            <w:vAlign w:val="center"/>
          </w:tcPr>
          <w:p w14:paraId="755C754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支付状态统一</w:t>
            </w:r>
          </w:p>
        </w:tc>
        <w:tc>
          <w:tcPr>
            <w:tcW w:w="4882" w:type="dxa"/>
            <w:tcBorders>
              <w:top w:val="nil"/>
              <w:left w:val="nil"/>
              <w:bottom w:val="nil"/>
              <w:right w:val="nil"/>
            </w:tcBorders>
            <w:noWrap w:val="0"/>
            <w:vAlign w:val="center"/>
          </w:tcPr>
          <w:p w14:paraId="2387191E">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1、原“景区到付-支付失败”状态统一改为“景区到付”，游客/导游到窗口补付票款即可。</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2、前端、后台、短信通知、报表均保持一致文案，避免游客误解。</w:t>
            </w:r>
          </w:p>
        </w:tc>
        <w:tc>
          <w:tcPr>
            <w:tcW w:w="544" w:type="dxa"/>
            <w:tcBorders>
              <w:top w:val="nil"/>
              <w:left w:val="nil"/>
              <w:bottom w:val="nil"/>
              <w:right w:val="nil"/>
            </w:tcBorders>
            <w:noWrap/>
            <w:vAlign w:val="center"/>
          </w:tcPr>
          <w:p w14:paraId="4DCF916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4C02610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24716049">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1600</w:t>
            </w:r>
          </w:p>
        </w:tc>
      </w:tr>
      <w:tr w14:paraId="46257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3C5B42A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10</w:t>
            </w:r>
          </w:p>
        </w:tc>
        <w:tc>
          <w:tcPr>
            <w:tcW w:w="1643" w:type="dxa"/>
            <w:tcBorders>
              <w:top w:val="nil"/>
              <w:left w:val="nil"/>
              <w:bottom w:val="nil"/>
              <w:right w:val="nil"/>
            </w:tcBorders>
            <w:noWrap w:val="0"/>
            <w:vAlign w:val="center"/>
          </w:tcPr>
          <w:p w14:paraId="43AEFB8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订单搜索增强</w:t>
            </w:r>
          </w:p>
        </w:tc>
        <w:tc>
          <w:tcPr>
            <w:tcW w:w="4882" w:type="dxa"/>
            <w:tcBorders>
              <w:top w:val="nil"/>
              <w:left w:val="nil"/>
              <w:bottom w:val="nil"/>
              <w:right w:val="nil"/>
            </w:tcBorders>
            <w:noWrap w:val="0"/>
            <w:vAlign w:val="center"/>
          </w:tcPr>
          <w:p w14:paraId="2EDDF4A9">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1、可按旅行社名称模糊搜索（支持关键字联想）。</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2、身份证列表旁新增“游客来源地”字段，系统自动根据身份证前 6 位解析省市；支持按地域筛选订单（可多选省份/城市）。</w:t>
            </w:r>
          </w:p>
        </w:tc>
        <w:tc>
          <w:tcPr>
            <w:tcW w:w="544" w:type="dxa"/>
            <w:tcBorders>
              <w:top w:val="nil"/>
              <w:left w:val="nil"/>
              <w:bottom w:val="nil"/>
              <w:right w:val="nil"/>
            </w:tcBorders>
            <w:noWrap/>
            <w:vAlign w:val="center"/>
          </w:tcPr>
          <w:p w14:paraId="1556D7E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66DC556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288A50C9">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8000</w:t>
            </w:r>
          </w:p>
        </w:tc>
      </w:tr>
      <w:tr w14:paraId="53EBA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320" w:hRule="atLeast"/>
          <w:jc w:val="center"/>
        </w:trPr>
        <w:tc>
          <w:tcPr>
            <w:tcW w:w="390" w:type="dxa"/>
            <w:tcBorders>
              <w:top w:val="nil"/>
              <w:left w:val="nil"/>
              <w:bottom w:val="nil"/>
              <w:right w:val="nil"/>
            </w:tcBorders>
            <w:noWrap/>
            <w:vAlign w:val="center"/>
          </w:tcPr>
          <w:p w14:paraId="61F5093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11</w:t>
            </w:r>
          </w:p>
        </w:tc>
        <w:tc>
          <w:tcPr>
            <w:tcW w:w="1643" w:type="dxa"/>
            <w:tcBorders>
              <w:top w:val="nil"/>
              <w:left w:val="nil"/>
              <w:bottom w:val="nil"/>
              <w:right w:val="nil"/>
            </w:tcBorders>
            <w:noWrap w:val="0"/>
            <w:vAlign w:val="center"/>
          </w:tcPr>
          <w:p w14:paraId="3BFC947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身份证校验（下单即核）</w:t>
            </w:r>
          </w:p>
        </w:tc>
        <w:tc>
          <w:tcPr>
            <w:tcW w:w="4882" w:type="dxa"/>
            <w:tcBorders>
              <w:top w:val="nil"/>
              <w:left w:val="nil"/>
              <w:bottom w:val="nil"/>
              <w:right w:val="nil"/>
            </w:tcBorders>
            <w:noWrap w:val="0"/>
            <w:vAlign w:val="center"/>
          </w:tcPr>
          <w:p w14:paraId="5D5DBBFD">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下单瞬间系统校验：</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1、年龄（生日）是否符合票种（如老人票≥60 岁）；</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2、地域是否符合优惠票范围；</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3、是否有可用库存及限购规则。</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4、不通过则弹窗提示具体原因并禁止提交，减少人工退单。</w:t>
            </w:r>
          </w:p>
        </w:tc>
        <w:tc>
          <w:tcPr>
            <w:tcW w:w="544" w:type="dxa"/>
            <w:tcBorders>
              <w:top w:val="nil"/>
              <w:left w:val="nil"/>
              <w:bottom w:val="nil"/>
              <w:right w:val="nil"/>
            </w:tcBorders>
            <w:noWrap/>
            <w:vAlign w:val="center"/>
          </w:tcPr>
          <w:p w14:paraId="79E3066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08D3C73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4E7D9BB8">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12000</w:t>
            </w:r>
          </w:p>
        </w:tc>
      </w:tr>
      <w:tr w14:paraId="46261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08" w:hRule="atLeast"/>
          <w:jc w:val="center"/>
        </w:trPr>
        <w:tc>
          <w:tcPr>
            <w:tcW w:w="390" w:type="dxa"/>
            <w:tcBorders>
              <w:top w:val="nil"/>
              <w:left w:val="nil"/>
              <w:bottom w:val="nil"/>
              <w:right w:val="nil"/>
            </w:tcBorders>
            <w:noWrap/>
            <w:vAlign w:val="center"/>
          </w:tcPr>
          <w:p w14:paraId="3F2825E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12</w:t>
            </w:r>
          </w:p>
        </w:tc>
        <w:tc>
          <w:tcPr>
            <w:tcW w:w="1643" w:type="dxa"/>
            <w:tcBorders>
              <w:top w:val="nil"/>
              <w:left w:val="nil"/>
              <w:bottom w:val="nil"/>
              <w:right w:val="nil"/>
            </w:tcBorders>
            <w:noWrap w:val="0"/>
            <w:vAlign w:val="center"/>
          </w:tcPr>
          <w:p w14:paraId="1833EB9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审核开关（提前预订时间）</w:t>
            </w:r>
          </w:p>
        </w:tc>
        <w:tc>
          <w:tcPr>
            <w:tcW w:w="4882" w:type="dxa"/>
            <w:tcBorders>
              <w:top w:val="nil"/>
              <w:left w:val="nil"/>
              <w:bottom w:val="nil"/>
              <w:right w:val="nil"/>
            </w:tcBorders>
            <w:noWrap w:val="0"/>
            <w:vAlign w:val="center"/>
          </w:tcPr>
          <w:p w14:paraId="20EB7532">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1、景区可在【票种管理-订票配置】为每个票种设定“最晚提前预订时长”（可精确到小时）。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2、旅行社下单时间若晚于阈值，订单状态自动变为“待人工审核”，系统推送至景区票务值班账号；审核通过后才正式生效并扣减库存。</w:t>
            </w:r>
          </w:p>
        </w:tc>
        <w:tc>
          <w:tcPr>
            <w:tcW w:w="544" w:type="dxa"/>
            <w:tcBorders>
              <w:top w:val="nil"/>
              <w:left w:val="nil"/>
              <w:bottom w:val="nil"/>
              <w:right w:val="nil"/>
            </w:tcBorders>
            <w:noWrap/>
            <w:vAlign w:val="center"/>
          </w:tcPr>
          <w:p w14:paraId="7AA8521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19ECBD0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5EC11F97">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4000</w:t>
            </w:r>
          </w:p>
        </w:tc>
      </w:tr>
      <w:tr w14:paraId="2EEF2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83" w:hRule="atLeast"/>
          <w:jc w:val="center"/>
        </w:trPr>
        <w:tc>
          <w:tcPr>
            <w:tcW w:w="390" w:type="dxa"/>
            <w:tcBorders>
              <w:top w:val="nil"/>
              <w:left w:val="nil"/>
              <w:bottom w:val="nil"/>
              <w:right w:val="nil"/>
            </w:tcBorders>
            <w:noWrap/>
            <w:vAlign w:val="center"/>
          </w:tcPr>
          <w:p w14:paraId="6501683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13</w:t>
            </w:r>
          </w:p>
        </w:tc>
        <w:tc>
          <w:tcPr>
            <w:tcW w:w="1643" w:type="dxa"/>
            <w:tcBorders>
              <w:top w:val="nil"/>
              <w:left w:val="nil"/>
              <w:bottom w:val="nil"/>
              <w:right w:val="nil"/>
            </w:tcBorders>
            <w:noWrap w:val="0"/>
            <w:vAlign w:val="center"/>
          </w:tcPr>
          <w:p w14:paraId="2E6F7E5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定制旅行社对账报表</w:t>
            </w:r>
          </w:p>
        </w:tc>
        <w:tc>
          <w:tcPr>
            <w:tcW w:w="4882" w:type="dxa"/>
            <w:tcBorders>
              <w:top w:val="nil"/>
              <w:left w:val="nil"/>
              <w:bottom w:val="nil"/>
              <w:right w:val="nil"/>
            </w:tcBorders>
            <w:noWrap w:val="0"/>
            <w:vAlign w:val="center"/>
          </w:tcPr>
          <w:p w14:paraId="12C7B203">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根据旅行社提供的 Excel 模板定制开发报表（含订单号、金额、退款金额、结算金额等字段）并每日自动生成；</w:t>
            </w:r>
          </w:p>
        </w:tc>
        <w:tc>
          <w:tcPr>
            <w:tcW w:w="544" w:type="dxa"/>
            <w:tcBorders>
              <w:top w:val="nil"/>
              <w:left w:val="nil"/>
              <w:bottom w:val="nil"/>
              <w:right w:val="nil"/>
            </w:tcBorders>
            <w:noWrap/>
            <w:vAlign w:val="center"/>
          </w:tcPr>
          <w:p w14:paraId="0BEF59C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0CDA41E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6BAE8355">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30000</w:t>
            </w:r>
          </w:p>
        </w:tc>
      </w:tr>
      <w:tr w14:paraId="1600F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4EA283A3">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三</w:t>
            </w:r>
          </w:p>
        </w:tc>
        <w:tc>
          <w:tcPr>
            <w:tcW w:w="6525" w:type="dxa"/>
            <w:gridSpan w:val="2"/>
            <w:tcBorders>
              <w:top w:val="nil"/>
              <w:left w:val="nil"/>
              <w:bottom w:val="nil"/>
              <w:right w:val="nil"/>
            </w:tcBorders>
            <w:shd w:val="clear" w:color="auto" w:fill="D9D9D9"/>
            <w:noWrap/>
            <w:vAlign w:val="center"/>
          </w:tcPr>
          <w:p w14:paraId="686D48C6">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售票窗口软件升级</w:t>
            </w:r>
          </w:p>
        </w:tc>
        <w:tc>
          <w:tcPr>
            <w:tcW w:w="544" w:type="dxa"/>
            <w:tcBorders>
              <w:top w:val="nil"/>
              <w:left w:val="nil"/>
              <w:bottom w:val="nil"/>
              <w:right w:val="nil"/>
            </w:tcBorders>
            <w:shd w:val="clear" w:color="auto" w:fill="D9D9D9"/>
            <w:noWrap/>
            <w:vAlign w:val="center"/>
          </w:tcPr>
          <w:p w14:paraId="5636C2D4">
            <w:pPr>
              <w:keepNext/>
              <w:snapToGrid w:val="0"/>
              <w:jc w:val="left"/>
              <w:rPr>
                <w:rFonts w:hint="eastAsia" w:ascii="等线" w:hAnsi="宋体" w:eastAsia="等线" w:cs="黑体"/>
                <w:i w:val="0"/>
                <w:iCs w:val="0"/>
                <w:color w:val="000000"/>
                <w:sz w:val="22"/>
                <w:szCs w:val="22"/>
                <w:highlight w:val="none"/>
                <w:u w:val="none"/>
              </w:rPr>
            </w:pPr>
          </w:p>
        </w:tc>
        <w:tc>
          <w:tcPr>
            <w:tcW w:w="628" w:type="dxa"/>
            <w:tcBorders>
              <w:top w:val="nil"/>
              <w:left w:val="nil"/>
              <w:bottom w:val="nil"/>
              <w:right w:val="nil"/>
            </w:tcBorders>
            <w:shd w:val="clear" w:color="auto" w:fill="D9D9D9"/>
            <w:noWrap/>
            <w:vAlign w:val="center"/>
          </w:tcPr>
          <w:p w14:paraId="67196E45">
            <w:pPr>
              <w:keepNext/>
              <w:snapToGrid w:val="0"/>
              <w:jc w:val="center"/>
              <w:rPr>
                <w:rFonts w:hint="eastAsia" w:ascii="等线" w:hAnsi="宋体" w:eastAsia="等线" w:cs="黑体"/>
                <w:i w:val="0"/>
                <w:iCs w:val="0"/>
                <w:color w:val="000000"/>
                <w:sz w:val="22"/>
                <w:szCs w:val="22"/>
                <w:highlight w:val="none"/>
                <w:u w:val="none"/>
              </w:rPr>
            </w:pPr>
          </w:p>
        </w:tc>
        <w:tc>
          <w:tcPr>
            <w:tcW w:w="1429" w:type="dxa"/>
            <w:tcBorders>
              <w:top w:val="nil"/>
              <w:left w:val="nil"/>
              <w:bottom w:val="nil"/>
              <w:right w:val="nil"/>
            </w:tcBorders>
            <w:shd w:val="clear" w:color="auto" w:fill="D9D9D9"/>
            <w:noWrap/>
            <w:vAlign w:val="center"/>
          </w:tcPr>
          <w:p w14:paraId="1929C836">
            <w:pPr>
              <w:keepNext/>
              <w:snapToGrid w:val="0"/>
              <w:jc w:val="center"/>
              <w:rPr>
                <w:rFonts w:hint="eastAsia" w:ascii="等线" w:hAnsi="宋体" w:eastAsia="等线" w:cs="黑体"/>
                <w:i w:val="0"/>
                <w:iCs w:val="0"/>
                <w:color w:val="000000"/>
                <w:sz w:val="22"/>
                <w:szCs w:val="22"/>
                <w:highlight w:val="none"/>
                <w:u w:val="none"/>
              </w:rPr>
            </w:pPr>
          </w:p>
        </w:tc>
      </w:tr>
      <w:tr w14:paraId="4D845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08" w:hRule="atLeast"/>
          <w:jc w:val="center"/>
        </w:trPr>
        <w:tc>
          <w:tcPr>
            <w:tcW w:w="390" w:type="dxa"/>
            <w:tcBorders>
              <w:top w:val="nil"/>
              <w:left w:val="nil"/>
              <w:bottom w:val="nil"/>
              <w:right w:val="nil"/>
            </w:tcBorders>
            <w:noWrap/>
            <w:vAlign w:val="center"/>
          </w:tcPr>
          <w:p w14:paraId="69EE54D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14</w:t>
            </w:r>
          </w:p>
        </w:tc>
        <w:tc>
          <w:tcPr>
            <w:tcW w:w="1643" w:type="dxa"/>
            <w:tcBorders>
              <w:top w:val="nil"/>
              <w:left w:val="nil"/>
              <w:bottom w:val="nil"/>
              <w:right w:val="nil"/>
            </w:tcBorders>
            <w:noWrap w:val="0"/>
            <w:vAlign w:val="center"/>
          </w:tcPr>
          <w:p w14:paraId="49523A6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到付订单支付方式强制人工选择</w:t>
            </w:r>
          </w:p>
        </w:tc>
        <w:tc>
          <w:tcPr>
            <w:tcW w:w="4882" w:type="dxa"/>
            <w:tcBorders>
              <w:top w:val="nil"/>
              <w:left w:val="nil"/>
              <w:bottom w:val="nil"/>
              <w:right w:val="nil"/>
            </w:tcBorders>
            <w:noWrap w:val="0"/>
            <w:vAlign w:val="center"/>
          </w:tcPr>
          <w:p w14:paraId="3F662A23">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触发场景：游客或导游持“景区到付”订单取票时。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交互流程：</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1、窗口不再默认任何支付方式；</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2、售票员必须在界面点击“现金收款”或“扫码收款”按钮后，系统才允许点击“确认出票”；</w:t>
            </w:r>
          </w:p>
        </w:tc>
        <w:tc>
          <w:tcPr>
            <w:tcW w:w="544" w:type="dxa"/>
            <w:tcBorders>
              <w:top w:val="nil"/>
              <w:left w:val="nil"/>
              <w:bottom w:val="nil"/>
              <w:right w:val="nil"/>
            </w:tcBorders>
            <w:noWrap/>
            <w:vAlign w:val="center"/>
          </w:tcPr>
          <w:p w14:paraId="3F8B546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68768FE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28A0CD58">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2400</w:t>
            </w:r>
          </w:p>
        </w:tc>
      </w:tr>
      <w:tr w14:paraId="0FCE9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745" w:hRule="atLeast"/>
          <w:jc w:val="center"/>
        </w:trPr>
        <w:tc>
          <w:tcPr>
            <w:tcW w:w="390" w:type="dxa"/>
            <w:tcBorders>
              <w:top w:val="nil"/>
              <w:left w:val="nil"/>
              <w:bottom w:val="nil"/>
              <w:right w:val="nil"/>
            </w:tcBorders>
            <w:noWrap/>
            <w:vAlign w:val="center"/>
          </w:tcPr>
          <w:p w14:paraId="565CF6F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15</w:t>
            </w:r>
          </w:p>
        </w:tc>
        <w:tc>
          <w:tcPr>
            <w:tcW w:w="1643" w:type="dxa"/>
            <w:tcBorders>
              <w:top w:val="nil"/>
              <w:left w:val="nil"/>
              <w:bottom w:val="nil"/>
              <w:right w:val="nil"/>
            </w:tcBorders>
            <w:noWrap w:val="0"/>
            <w:vAlign w:val="center"/>
          </w:tcPr>
          <w:p w14:paraId="714E762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身份证刷卡自动匹配勾选</w:t>
            </w:r>
          </w:p>
        </w:tc>
        <w:tc>
          <w:tcPr>
            <w:tcW w:w="4882" w:type="dxa"/>
            <w:tcBorders>
              <w:top w:val="nil"/>
              <w:left w:val="nil"/>
              <w:bottom w:val="nil"/>
              <w:right w:val="nil"/>
            </w:tcBorders>
            <w:noWrap w:val="0"/>
            <w:vAlign w:val="center"/>
          </w:tcPr>
          <w:p w14:paraId="035A6966">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触发场景：游客或导游持“身份证”到售票窗口进行团队取票时。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1、游客将身份证放置读卡器，系统自动检索当日渠道订单内的所有证件号，并进行匹配；</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2、如匹配对应证件号，直接自动勾选并高亮；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3、全程无需手输姓名或点击查询。</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4、异常处理：读卡失败或无证时，仍可手动输入证件号进行匹配，直接自动勾选并高亮；</w:t>
            </w:r>
          </w:p>
        </w:tc>
        <w:tc>
          <w:tcPr>
            <w:tcW w:w="544" w:type="dxa"/>
            <w:tcBorders>
              <w:top w:val="nil"/>
              <w:left w:val="nil"/>
              <w:bottom w:val="nil"/>
              <w:right w:val="nil"/>
            </w:tcBorders>
            <w:noWrap/>
            <w:vAlign w:val="center"/>
          </w:tcPr>
          <w:p w14:paraId="5399EC2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1B6F321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4E44A979">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22000</w:t>
            </w:r>
          </w:p>
        </w:tc>
      </w:tr>
      <w:tr w14:paraId="33B25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543E640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16</w:t>
            </w:r>
          </w:p>
        </w:tc>
        <w:tc>
          <w:tcPr>
            <w:tcW w:w="1643" w:type="dxa"/>
            <w:tcBorders>
              <w:top w:val="nil"/>
              <w:left w:val="nil"/>
              <w:bottom w:val="nil"/>
              <w:right w:val="nil"/>
            </w:tcBorders>
            <w:noWrap w:val="0"/>
            <w:vAlign w:val="center"/>
          </w:tcPr>
          <w:p w14:paraId="5F713EB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支付成功页大字回显收款方式</w:t>
            </w:r>
          </w:p>
        </w:tc>
        <w:tc>
          <w:tcPr>
            <w:tcW w:w="4882" w:type="dxa"/>
            <w:tcBorders>
              <w:top w:val="nil"/>
              <w:left w:val="nil"/>
              <w:bottom w:val="nil"/>
              <w:right w:val="nil"/>
            </w:tcBorders>
            <w:noWrap w:val="0"/>
            <w:vAlign w:val="center"/>
          </w:tcPr>
          <w:p w14:paraId="06CAD96E">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1、样式：全屏弹窗，字号 ≥72 pt，居中显示：</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“已收现金 ¥XXX.XX” 或</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“已扫码收款 ¥XXX.XX”。</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2、弹窗点击“确认”即可关闭。</w:t>
            </w:r>
          </w:p>
        </w:tc>
        <w:tc>
          <w:tcPr>
            <w:tcW w:w="544" w:type="dxa"/>
            <w:tcBorders>
              <w:top w:val="nil"/>
              <w:left w:val="nil"/>
              <w:bottom w:val="nil"/>
              <w:right w:val="nil"/>
            </w:tcBorders>
            <w:noWrap/>
            <w:vAlign w:val="center"/>
          </w:tcPr>
          <w:p w14:paraId="4D058D8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38F2A8C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4E7C46A3">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650</w:t>
            </w:r>
          </w:p>
        </w:tc>
      </w:tr>
      <w:tr w14:paraId="1B1AC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2A185C7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17</w:t>
            </w:r>
          </w:p>
        </w:tc>
        <w:tc>
          <w:tcPr>
            <w:tcW w:w="1643" w:type="dxa"/>
            <w:tcBorders>
              <w:top w:val="nil"/>
              <w:left w:val="nil"/>
              <w:bottom w:val="nil"/>
              <w:right w:val="nil"/>
            </w:tcBorders>
            <w:noWrap w:val="0"/>
            <w:vAlign w:val="center"/>
          </w:tcPr>
          <w:p w14:paraId="5C17776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左侧快捷按钮栏</w:t>
            </w:r>
          </w:p>
        </w:tc>
        <w:tc>
          <w:tcPr>
            <w:tcW w:w="4882" w:type="dxa"/>
            <w:tcBorders>
              <w:top w:val="nil"/>
              <w:left w:val="nil"/>
              <w:bottom w:val="nil"/>
              <w:right w:val="nil"/>
            </w:tcBorders>
            <w:noWrap w:val="0"/>
            <w:vAlign w:val="center"/>
          </w:tcPr>
          <w:p w14:paraId="3DAED397">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位置：窗口软件左侧垂直栏。</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新增一键快捷按钮：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常用示例：售票、取票、退票、订单查询、挂单管理、报表查询等。</w:t>
            </w:r>
          </w:p>
        </w:tc>
        <w:tc>
          <w:tcPr>
            <w:tcW w:w="544" w:type="dxa"/>
            <w:tcBorders>
              <w:top w:val="nil"/>
              <w:left w:val="nil"/>
              <w:bottom w:val="nil"/>
              <w:right w:val="nil"/>
            </w:tcBorders>
            <w:noWrap/>
            <w:vAlign w:val="center"/>
          </w:tcPr>
          <w:p w14:paraId="46B85F3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6BA6341F">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03B27F4B">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12000</w:t>
            </w:r>
          </w:p>
        </w:tc>
      </w:tr>
      <w:tr w14:paraId="12C74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69" w:hRule="atLeast"/>
          <w:jc w:val="center"/>
        </w:trPr>
        <w:tc>
          <w:tcPr>
            <w:tcW w:w="390" w:type="dxa"/>
            <w:tcBorders>
              <w:top w:val="nil"/>
              <w:left w:val="nil"/>
              <w:bottom w:val="nil"/>
              <w:right w:val="nil"/>
            </w:tcBorders>
            <w:noWrap/>
            <w:vAlign w:val="center"/>
          </w:tcPr>
          <w:p w14:paraId="49499B4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18</w:t>
            </w:r>
          </w:p>
        </w:tc>
        <w:tc>
          <w:tcPr>
            <w:tcW w:w="1643" w:type="dxa"/>
            <w:tcBorders>
              <w:top w:val="nil"/>
              <w:left w:val="nil"/>
              <w:bottom w:val="nil"/>
              <w:right w:val="nil"/>
            </w:tcBorders>
            <w:noWrap w:val="0"/>
            <w:vAlign w:val="center"/>
          </w:tcPr>
          <w:p w14:paraId="36FB2D7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挂单功能</w:t>
            </w:r>
          </w:p>
        </w:tc>
        <w:tc>
          <w:tcPr>
            <w:tcW w:w="4882" w:type="dxa"/>
            <w:tcBorders>
              <w:top w:val="nil"/>
              <w:left w:val="nil"/>
              <w:bottom w:val="nil"/>
              <w:right w:val="nil"/>
            </w:tcBorders>
            <w:noWrap w:val="0"/>
            <w:vAlign w:val="center"/>
          </w:tcPr>
          <w:p w14:paraId="17DE25D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操作流程：</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售票过程中点击“挂单”，自动生成流水号即可暂存当前购物车；</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挂起后屏幕清空，可继续接待下一批游客；</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点击左侧“挂单管理”按钮，列表展示所有挂单，选中后一键调出，原购物车及证件信息完整恢复。</w:t>
            </w:r>
          </w:p>
        </w:tc>
        <w:tc>
          <w:tcPr>
            <w:tcW w:w="544" w:type="dxa"/>
            <w:tcBorders>
              <w:top w:val="nil"/>
              <w:left w:val="nil"/>
              <w:bottom w:val="nil"/>
              <w:right w:val="nil"/>
            </w:tcBorders>
            <w:noWrap/>
            <w:vAlign w:val="center"/>
          </w:tcPr>
          <w:p w14:paraId="05696E3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3827FDA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1AFEBAA2">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18000</w:t>
            </w:r>
          </w:p>
        </w:tc>
      </w:tr>
      <w:tr w14:paraId="33911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53E39670">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四</w:t>
            </w:r>
          </w:p>
        </w:tc>
        <w:tc>
          <w:tcPr>
            <w:tcW w:w="6525" w:type="dxa"/>
            <w:gridSpan w:val="2"/>
            <w:tcBorders>
              <w:top w:val="nil"/>
              <w:left w:val="nil"/>
              <w:bottom w:val="nil"/>
              <w:right w:val="nil"/>
            </w:tcBorders>
            <w:shd w:val="clear" w:color="auto" w:fill="D9D9D9"/>
            <w:noWrap/>
            <w:vAlign w:val="center"/>
          </w:tcPr>
          <w:p w14:paraId="286D8DD9">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检票口（闸机/人脸机）升级</w:t>
            </w:r>
          </w:p>
        </w:tc>
        <w:tc>
          <w:tcPr>
            <w:tcW w:w="544" w:type="dxa"/>
            <w:tcBorders>
              <w:top w:val="nil"/>
              <w:left w:val="nil"/>
              <w:bottom w:val="nil"/>
              <w:right w:val="nil"/>
            </w:tcBorders>
            <w:shd w:val="clear" w:color="auto" w:fill="D9D9D9"/>
            <w:noWrap/>
            <w:vAlign w:val="center"/>
          </w:tcPr>
          <w:p w14:paraId="3E71F608">
            <w:pPr>
              <w:keepNext/>
              <w:snapToGrid w:val="0"/>
              <w:jc w:val="left"/>
              <w:rPr>
                <w:rFonts w:hint="eastAsia" w:ascii="等线" w:hAnsi="宋体" w:eastAsia="等线" w:cs="黑体"/>
                <w:i w:val="0"/>
                <w:iCs w:val="0"/>
                <w:color w:val="000000"/>
                <w:sz w:val="22"/>
                <w:szCs w:val="22"/>
                <w:highlight w:val="none"/>
                <w:u w:val="none"/>
              </w:rPr>
            </w:pPr>
          </w:p>
        </w:tc>
        <w:tc>
          <w:tcPr>
            <w:tcW w:w="628" w:type="dxa"/>
            <w:tcBorders>
              <w:top w:val="nil"/>
              <w:left w:val="nil"/>
              <w:bottom w:val="nil"/>
              <w:right w:val="nil"/>
            </w:tcBorders>
            <w:shd w:val="clear" w:color="auto" w:fill="D9D9D9"/>
            <w:noWrap/>
            <w:vAlign w:val="center"/>
          </w:tcPr>
          <w:p w14:paraId="5A490AB3">
            <w:pPr>
              <w:keepNext/>
              <w:snapToGrid w:val="0"/>
              <w:jc w:val="center"/>
              <w:rPr>
                <w:rFonts w:hint="eastAsia" w:ascii="等线" w:hAnsi="宋体" w:eastAsia="等线" w:cs="黑体"/>
                <w:i w:val="0"/>
                <w:iCs w:val="0"/>
                <w:color w:val="000000"/>
                <w:sz w:val="22"/>
                <w:szCs w:val="22"/>
                <w:highlight w:val="none"/>
                <w:u w:val="none"/>
              </w:rPr>
            </w:pPr>
          </w:p>
        </w:tc>
        <w:tc>
          <w:tcPr>
            <w:tcW w:w="1429" w:type="dxa"/>
            <w:tcBorders>
              <w:top w:val="nil"/>
              <w:left w:val="nil"/>
              <w:bottom w:val="nil"/>
              <w:right w:val="nil"/>
            </w:tcBorders>
            <w:shd w:val="clear" w:color="auto" w:fill="D9D9D9"/>
            <w:noWrap/>
            <w:vAlign w:val="center"/>
          </w:tcPr>
          <w:p w14:paraId="2B09BBDD">
            <w:pPr>
              <w:keepNext/>
              <w:snapToGrid w:val="0"/>
              <w:jc w:val="center"/>
              <w:rPr>
                <w:rFonts w:hint="eastAsia" w:ascii="等线" w:hAnsi="宋体" w:eastAsia="等线" w:cs="黑体"/>
                <w:i w:val="0"/>
                <w:iCs w:val="0"/>
                <w:color w:val="000000"/>
                <w:sz w:val="22"/>
                <w:szCs w:val="22"/>
                <w:highlight w:val="none"/>
                <w:u w:val="none"/>
              </w:rPr>
            </w:pPr>
          </w:p>
        </w:tc>
      </w:tr>
      <w:tr w14:paraId="4F565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745" w:hRule="atLeast"/>
          <w:jc w:val="center"/>
        </w:trPr>
        <w:tc>
          <w:tcPr>
            <w:tcW w:w="390" w:type="dxa"/>
            <w:tcBorders>
              <w:top w:val="nil"/>
              <w:left w:val="nil"/>
              <w:bottom w:val="nil"/>
              <w:right w:val="nil"/>
            </w:tcBorders>
            <w:noWrap/>
            <w:vAlign w:val="center"/>
          </w:tcPr>
          <w:p w14:paraId="3E28CC9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19</w:t>
            </w:r>
          </w:p>
        </w:tc>
        <w:tc>
          <w:tcPr>
            <w:tcW w:w="1643" w:type="dxa"/>
            <w:tcBorders>
              <w:top w:val="nil"/>
              <w:left w:val="nil"/>
              <w:bottom w:val="nil"/>
              <w:right w:val="nil"/>
            </w:tcBorders>
            <w:noWrap w:val="0"/>
            <w:vAlign w:val="center"/>
          </w:tcPr>
          <w:p w14:paraId="0DDF372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新增“支付宝人脸”无介质入园</w:t>
            </w:r>
          </w:p>
        </w:tc>
        <w:tc>
          <w:tcPr>
            <w:tcW w:w="4882" w:type="dxa"/>
            <w:tcBorders>
              <w:top w:val="nil"/>
              <w:left w:val="nil"/>
              <w:bottom w:val="nil"/>
              <w:right w:val="nil"/>
            </w:tcBorders>
            <w:noWrap w:val="0"/>
            <w:vAlign w:val="center"/>
          </w:tcPr>
          <w:p w14:paraId="51747C42">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1、购票即注册：游客在线上完成实名制购票（填写身份证号+姓名）后，系统即刻通过支付宝人脸库接口把该游客的人脸特征值加密下发到闸机本地缓存，无需现场采集。</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2、过闸流程：游客面向摄像头→闸机本地 1:N 比对→&lt;1 秒开闸。</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3、无手机、无身份证也能通行，真正实现“刷脸即走”。</w:t>
            </w:r>
          </w:p>
        </w:tc>
        <w:tc>
          <w:tcPr>
            <w:tcW w:w="544" w:type="dxa"/>
            <w:tcBorders>
              <w:top w:val="nil"/>
              <w:left w:val="nil"/>
              <w:bottom w:val="nil"/>
              <w:right w:val="nil"/>
            </w:tcBorders>
            <w:noWrap/>
            <w:vAlign w:val="center"/>
          </w:tcPr>
          <w:p w14:paraId="4A48FB9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63E0263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36443074">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35000</w:t>
            </w:r>
          </w:p>
        </w:tc>
      </w:tr>
      <w:tr w14:paraId="10645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58" w:hRule="atLeast"/>
          <w:jc w:val="center"/>
        </w:trPr>
        <w:tc>
          <w:tcPr>
            <w:tcW w:w="390" w:type="dxa"/>
            <w:tcBorders>
              <w:top w:val="nil"/>
              <w:left w:val="nil"/>
              <w:bottom w:val="nil"/>
              <w:right w:val="nil"/>
            </w:tcBorders>
            <w:noWrap/>
            <w:vAlign w:val="center"/>
          </w:tcPr>
          <w:p w14:paraId="327A308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20</w:t>
            </w:r>
          </w:p>
        </w:tc>
        <w:tc>
          <w:tcPr>
            <w:tcW w:w="1643" w:type="dxa"/>
            <w:tcBorders>
              <w:top w:val="nil"/>
              <w:left w:val="nil"/>
              <w:bottom w:val="nil"/>
              <w:right w:val="nil"/>
            </w:tcBorders>
            <w:noWrap w:val="0"/>
            <w:vAlign w:val="center"/>
          </w:tcPr>
          <w:p w14:paraId="210B736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年卡对接与“刷脸”核销</w:t>
            </w:r>
          </w:p>
        </w:tc>
        <w:tc>
          <w:tcPr>
            <w:tcW w:w="4882" w:type="dxa"/>
            <w:tcBorders>
              <w:top w:val="nil"/>
              <w:left w:val="nil"/>
              <w:bottom w:val="nil"/>
              <w:right w:val="nil"/>
            </w:tcBorders>
            <w:noWrap w:val="0"/>
            <w:vAlign w:val="center"/>
          </w:tcPr>
          <w:p w14:paraId="172E726B">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1、对接范围：湖北省惠民年卡、恩施州旅游年卡。</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2、技术流程：</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① 闸机读取游客现场人脸 → ② 系统用“身份证号+姓名”调用年卡接口 → ③ 接口实时返回有效期、剩余次数 → ④ 合法即扣减次数并开闸。</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3、全程无需掏卡或身份证，直接刷脸完成年卡核销。</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4、过闸记录（卡号、身份证、时间、通道号）实时回传票务后台，支持日/月报表导出。</w:t>
            </w:r>
          </w:p>
        </w:tc>
        <w:tc>
          <w:tcPr>
            <w:tcW w:w="544" w:type="dxa"/>
            <w:tcBorders>
              <w:top w:val="nil"/>
              <w:left w:val="nil"/>
              <w:bottom w:val="nil"/>
              <w:right w:val="nil"/>
            </w:tcBorders>
            <w:noWrap/>
            <w:vAlign w:val="center"/>
          </w:tcPr>
          <w:p w14:paraId="5FA7504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25A569E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781A3DB8">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48000</w:t>
            </w:r>
          </w:p>
        </w:tc>
      </w:tr>
      <w:tr w14:paraId="3B402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08" w:hRule="atLeast"/>
          <w:jc w:val="center"/>
        </w:trPr>
        <w:tc>
          <w:tcPr>
            <w:tcW w:w="390" w:type="dxa"/>
            <w:tcBorders>
              <w:top w:val="nil"/>
              <w:left w:val="nil"/>
              <w:bottom w:val="nil"/>
              <w:right w:val="nil"/>
            </w:tcBorders>
            <w:noWrap/>
            <w:vAlign w:val="center"/>
          </w:tcPr>
          <w:p w14:paraId="375D597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21</w:t>
            </w:r>
          </w:p>
        </w:tc>
        <w:tc>
          <w:tcPr>
            <w:tcW w:w="1643" w:type="dxa"/>
            <w:tcBorders>
              <w:top w:val="nil"/>
              <w:left w:val="nil"/>
              <w:bottom w:val="nil"/>
              <w:right w:val="nil"/>
            </w:tcBorders>
            <w:noWrap w:val="0"/>
            <w:vAlign w:val="center"/>
          </w:tcPr>
          <w:p w14:paraId="03E4C2D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一人多单自动核销规则</w:t>
            </w:r>
          </w:p>
        </w:tc>
        <w:tc>
          <w:tcPr>
            <w:tcW w:w="4882" w:type="dxa"/>
            <w:tcBorders>
              <w:top w:val="nil"/>
              <w:left w:val="nil"/>
              <w:bottom w:val="nil"/>
              <w:right w:val="nil"/>
            </w:tcBorders>
            <w:noWrap w:val="0"/>
            <w:vAlign w:val="center"/>
          </w:tcPr>
          <w:p w14:paraId="264E9F7A">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1、场景：同一身份证同一天持多笔有效订单。</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2、核销策略可在后台随时切换：</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A. 下单时间先后（默认最早订单）；</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B. 旅行社优先（团队优先散客）；</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C. 自定义票种优先级。</w:t>
            </w:r>
          </w:p>
        </w:tc>
        <w:tc>
          <w:tcPr>
            <w:tcW w:w="544" w:type="dxa"/>
            <w:tcBorders>
              <w:top w:val="nil"/>
              <w:left w:val="nil"/>
              <w:bottom w:val="nil"/>
              <w:right w:val="nil"/>
            </w:tcBorders>
            <w:noWrap/>
            <w:vAlign w:val="center"/>
          </w:tcPr>
          <w:p w14:paraId="3514FEFF">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3B02FA2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1ABD0CF9">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12000</w:t>
            </w:r>
          </w:p>
        </w:tc>
      </w:tr>
      <w:tr w14:paraId="10AAA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0690463C">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五</w:t>
            </w:r>
          </w:p>
        </w:tc>
        <w:tc>
          <w:tcPr>
            <w:tcW w:w="1643" w:type="dxa"/>
            <w:tcBorders>
              <w:top w:val="nil"/>
              <w:left w:val="nil"/>
              <w:bottom w:val="nil"/>
              <w:right w:val="nil"/>
            </w:tcBorders>
            <w:shd w:val="clear" w:color="auto" w:fill="D9D9D9"/>
            <w:noWrap/>
            <w:vAlign w:val="center"/>
          </w:tcPr>
          <w:p w14:paraId="082DA0DB">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接口对接</w:t>
            </w:r>
          </w:p>
        </w:tc>
        <w:tc>
          <w:tcPr>
            <w:tcW w:w="4882" w:type="dxa"/>
            <w:tcBorders>
              <w:top w:val="nil"/>
              <w:left w:val="nil"/>
              <w:bottom w:val="nil"/>
              <w:right w:val="nil"/>
            </w:tcBorders>
            <w:shd w:val="clear" w:color="auto" w:fill="D9D9D9"/>
            <w:noWrap/>
            <w:vAlign w:val="center"/>
          </w:tcPr>
          <w:p w14:paraId="0FB42755">
            <w:pPr>
              <w:keepNext/>
              <w:snapToGrid w:val="0"/>
              <w:jc w:val="left"/>
              <w:rPr>
                <w:rFonts w:hint="eastAsia" w:ascii="等线" w:hAnsi="宋体" w:eastAsia="等线" w:cs="黑体"/>
                <w:i w:val="0"/>
                <w:iCs w:val="0"/>
                <w:color w:val="000000"/>
                <w:sz w:val="22"/>
                <w:szCs w:val="22"/>
                <w:highlight w:val="none"/>
                <w:u w:val="none"/>
              </w:rPr>
            </w:pPr>
          </w:p>
        </w:tc>
        <w:tc>
          <w:tcPr>
            <w:tcW w:w="544" w:type="dxa"/>
            <w:tcBorders>
              <w:top w:val="nil"/>
              <w:left w:val="nil"/>
              <w:bottom w:val="nil"/>
              <w:right w:val="nil"/>
            </w:tcBorders>
            <w:shd w:val="clear" w:color="auto" w:fill="D9D9D9"/>
            <w:noWrap/>
            <w:vAlign w:val="center"/>
          </w:tcPr>
          <w:p w14:paraId="01C66A9A">
            <w:pPr>
              <w:keepNext/>
              <w:snapToGrid w:val="0"/>
              <w:jc w:val="center"/>
              <w:rPr>
                <w:rFonts w:hint="eastAsia" w:ascii="等线" w:hAnsi="宋体" w:eastAsia="等线" w:cs="黑体"/>
                <w:i w:val="0"/>
                <w:iCs w:val="0"/>
                <w:color w:val="000000"/>
                <w:sz w:val="22"/>
                <w:szCs w:val="22"/>
                <w:highlight w:val="none"/>
                <w:u w:val="none"/>
              </w:rPr>
            </w:pPr>
          </w:p>
        </w:tc>
        <w:tc>
          <w:tcPr>
            <w:tcW w:w="628" w:type="dxa"/>
            <w:tcBorders>
              <w:top w:val="nil"/>
              <w:left w:val="nil"/>
              <w:bottom w:val="nil"/>
              <w:right w:val="nil"/>
            </w:tcBorders>
            <w:shd w:val="clear" w:color="auto" w:fill="D9D9D9"/>
            <w:noWrap/>
            <w:vAlign w:val="center"/>
          </w:tcPr>
          <w:p w14:paraId="1C519F62">
            <w:pPr>
              <w:keepNext/>
              <w:snapToGrid w:val="0"/>
              <w:jc w:val="center"/>
              <w:rPr>
                <w:rFonts w:hint="eastAsia" w:ascii="等线" w:hAnsi="宋体" w:eastAsia="等线" w:cs="黑体"/>
                <w:i w:val="0"/>
                <w:iCs w:val="0"/>
                <w:color w:val="000000"/>
                <w:sz w:val="22"/>
                <w:szCs w:val="22"/>
                <w:highlight w:val="none"/>
                <w:u w:val="none"/>
              </w:rPr>
            </w:pPr>
          </w:p>
        </w:tc>
        <w:tc>
          <w:tcPr>
            <w:tcW w:w="1429" w:type="dxa"/>
            <w:tcBorders>
              <w:top w:val="nil"/>
              <w:left w:val="nil"/>
              <w:bottom w:val="nil"/>
              <w:right w:val="nil"/>
            </w:tcBorders>
            <w:shd w:val="clear" w:color="auto" w:fill="D9D9D9"/>
            <w:noWrap/>
            <w:vAlign w:val="center"/>
          </w:tcPr>
          <w:p w14:paraId="39971927">
            <w:pPr>
              <w:keepNext/>
              <w:snapToGrid w:val="0"/>
              <w:jc w:val="center"/>
              <w:rPr>
                <w:rFonts w:hint="eastAsia" w:ascii="等线" w:hAnsi="宋体" w:eastAsia="等线" w:cs="黑体"/>
                <w:i w:val="0"/>
                <w:iCs w:val="0"/>
                <w:color w:val="000000"/>
                <w:sz w:val="22"/>
                <w:szCs w:val="22"/>
                <w:highlight w:val="none"/>
                <w:u w:val="none"/>
              </w:rPr>
            </w:pPr>
          </w:p>
        </w:tc>
      </w:tr>
      <w:tr w14:paraId="0AABB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83" w:hRule="atLeast"/>
          <w:jc w:val="center"/>
        </w:trPr>
        <w:tc>
          <w:tcPr>
            <w:tcW w:w="390" w:type="dxa"/>
            <w:tcBorders>
              <w:top w:val="nil"/>
              <w:left w:val="nil"/>
              <w:bottom w:val="nil"/>
              <w:right w:val="nil"/>
            </w:tcBorders>
            <w:noWrap/>
            <w:vAlign w:val="center"/>
          </w:tcPr>
          <w:p w14:paraId="76C67BB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22</w:t>
            </w:r>
          </w:p>
        </w:tc>
        <w:tc>
          <w:tcPr>
            <w:tcW w:w="1643" w:type="dxa"/>
            <w:tcBorders>
              <w:top w:val="nil"/>
              <w:left w:val="nil"/>
              <w:bottom w:val="nil"/>
              <w:right w:val="nil"/>
            </w:tcBorders>
            <w:noWrap w:val="0"/>
            <w:vAlign w:val="center"/>
          </w:tcPr>
          <w:p w14:paraId="42E6748F">
            <w:pPr>
              <w:keepNext/>
              <w:keepLines w:val="0"/>
              <w:widowControl/>
              <w:suppressLineNumbers w:val="0"/>
              <w:snapToGrid w:val="0"/>
              <w:jc w:val="center"/>
              <w:textAlignment w:val="center"/>
              <w:rPr>
                <w:rFonts w:hint="eastAsia" w:ascii="等线" w:hAnsi="等线" w:eastAsia="等线" w:cs="等线"/>
                <w:i w:val="0"/>
                <w:iCs w:val="0"/>
                <w:color w:val="000000"/>
                <w:kern w:val="0"/>
                <w:sz w:val="22"/>
                <w:szCs w:val="22"/>
                <w:highlight w:val="none"/>
                <w:u w:val="none"/>
                <w:lang w:val="en-US" w:eastAsia="zh-CN" w:bidi="ar"/>
              </w:rPr>
            </w:pPr>
            <w:r>
              <w:rPr>
                <w:rFonts w:hint="eastAsia" w:ascii="等线" w:hAnsi="等线" w:eastAsia="等线" w:cs="等线"/>
                <w:i w:val="0"/>
                <w:iCs w:val="0"/>
                <w:color w:val="000000"/>
                <w:kern w:val="0"/>
                <w:sz w:val="22"/>
                <w:szCs w:val="22"/>
                <w:highlight w:val="none"/>
                <w:u w:val="none"/>
                <w:lang w:val="en-US" w:eastAsia="zh-CN" w:bidi="ar"/>
              </w:rPr>
              <w:t>恩施一码游对接</w:t>
            </w:r>
          </w:p>
        </w:tc>
        <w:tc>
          <w:tcPr>
            <w:tcW w:w="4882" w:type="dxa"/>
            <w:tcBorders>
              <w:top w:val="nil"/>
              <w:left w:val="nil"/>
              <w:bottom w:val="nil"/>
              <w:right w:val="nil"/>
            </w:tcBorders>
            <w:noWrap w:val="0"/>
            <w:vAlign w:val="center"/>
          </w:tcPr>
          <w:p w14:paraId="2498A4C9">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提供拉取票种接口、创建订单接口、支付成功接口、退款接口、订单查询接口、核销接口相关接口文档，并协助恩施文旅服务小程序完成接口对接联调。</w:t>
            </w:r>
          </w:p>
        </w:tc>
        <w:tc>
          <w:tcPr>
            <w:tcW w:w="544" w:type="dxa"/>
            <w:tcBorders>
              <w:top w:val="nil"/>
              <w:left w:val="nil"/>
              <w:bottom w:val="nil"/>
              <w:right w:val="nil"/>
            </w:tcBorders>
            <w:noWrap/>
            <w:vAlign w:val="center"/>
          </w:tcPr>
          <w:p w14:paraId="1265960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0698AC1A">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2D157477">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32000</w:t>
            </w:r>
          </w:p>
        </w:tc>
      </w:tr>
      <w:tr w14:paraId="0799B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69" w:hRule="atLeast"/>
          <w:jc w:val="center"/>
        </w:trPr>
        <w:tc>
          <w:tcPr>
            <w:tcW w:w="390" w:type="dxa"/>
            <w:tcBorders>
              <w:top w:val="nil"/>
              <w:left w:val="nil"/>
              <w:bottom w:val="nil"/>
              <w:right w:val="nil"/>
            </w:tcBorders>
            <w:noWrap/>
            <w:vAlign w:val="center"/>
          </w:tcPr>
          <w:p w14:paraId="6D2AE459">
            <w:pPr>
              <w:keepNext/>
              <w:keepLines w:val="0"/>
              <w:widowControl/>
              <w:suppressLineNumbers w:val="0"/>
              <w:snapToGrid w:val="0"/>
              <w:jc w:val="center"/>
              <w:textAlignment w:val="center"/>
              <w:rPr>
                <w:rFonts w:hint="default" w:ascii="等线" w:hAnsi="等线" w:eastAsia="等线" w:cs="等线"/>
                <w:i w:val="0"/>
                <w:iCs w:val="0"/>
                <w:color w:val="000000"/>
                <w:kern w:val="0"/>
                <w:sz w:val="22"/>
                <w:szCs w:val="22"/>
                <w:highlight w:val="none"/>
                <w:u w:val="none"/>
                <w:lang w:val="en-US" w:eastAsia="zh-CN" w:bidi="ar"/>
              </w:rPr>
            </w:pPr>
            <w:r>
              <w:rPr>
                <w:rFonts w:hint="eastAsia" w:ascii="等线" w:hAnsi="等线" w:eastAsia="等线" w:cs="等线"/>
                <w:i w:val="0"/>
                <w:iCs w:val="0"/>
                <w:color w:val="000000"/>
                <w:kern w:val="0"/>
                <w:sz w:val="22"/>
                <w:szCs w:val="22"/>
                <w:highlight w:val="none"/>
                <w:u w:val="none"/>
                <w:lang w:val="en-US" w:eastAsia="zh-CN" w:bidi="ar"/>
              </w:rPr>
              <w:t>23</w:t>
            </w:r>
          </w:p>
        </w:tc>
        <w:tc>
          <w:tcPr>
            <w:tcW w:w="1643" w:type="dxa"/>
            <w:tcBorders>
              <w:top w:val="nil"/>
              <w:left w:val="nil"/>
              <w:bottom w:val="nil"/>
              <w:right w:val="nil"/>
            </w:tcBorders>
            <w:noWrap w:val="0"/>
            <w:vAlign w:val="center"/>
          </w:tcPr>
          <w:p w14:paraId="7844ADEE">
            <w:pPr>
              <w:keepNext/>
              <w:keepLines w:val="0"/>
              <w:widowControl/>
              <w:suppressLineNumbers w:val="0"/>
              <w:snapToGrid w:val="0"/>
              <w:jc w:val="center"/>
              <w:textAlignment w:val="center"/>
              <w:rPr>
                <w:rFonts w:hint="eastAsia" w:ascii="等线" w:hAnsi="等线" w:eastAsia="等线" w:cs="等线"/>
                <w:i w:val="0"/>
                <w:iCs w:val="0"/>
                <w:color w:val="000000"/>
                <w:kern w:val="0"/>
                <w:sz w:val="22"/>
                <w:szCs w:val="22"/>
                <w:highlight w:val="none"/>
                <w:u w:val="none"/>
                <w:lang w:val="en-US" w:eastAsia="zh-CN" w:bidi="ar"/>
              </w:rPr>
            </w:pPr>
            <w:r>
              <w:rPr>
                <w:rFonts w:hint="eastAsia" w:ascii="等线" w:hAnsi="等线" w:eastAsia="等线" w:cs="等线"/>
                <w:i w:val="0"/>
                <w:iCs w:val="0"/>
                <w:color w:val="000000"/>
                <w:kern w:val="0"/>
                <w:sz w:val="22"/>
                <w:szCs w:val="22"/>
                <w:highlight w:val="none"/>
                <w:u w:val="none"/>
                <w:lang w:val="en-US" w:eastAsia="zh-CN" w:bidi="ar"/>
              </w:rPr>
              <w:t>数据接口对接</w:t>
            </w:r>
          </w:p>
        </w:tc>
        <w:tc>
          <w:tcPr>
            <w:tcW w:w="4882" w:type="dxa"/>
            <w:tcBorders>
              <w:top w:val="nil"/>
              <w:left w:val="nil"/>
              <w:bottom w:val="nil"/>
              <w:right w:val="nil"/>
            </w:tcBorders>
            <w:noWrap w:val="0"/>
            <w:vAlign w:val="center"/>
          </w:tcPr>
          <w:p w14:paraId="2DBB798C">
            <w:pPr>
              <w:keepNext/>
              <w:keepLines w:val="0"/>
              <w:widowControl/>
              <w:suppressLineNumbers w:val="0"/>
              <w:snapToGrid w:val="0"/>
              <w:jc w:val="left"/>
              <w:textAlignment w:val="center"/>
              <w:rPr>
                <w:rFonts w:hint="eastAsia" w:ascii="等线" w:hAnsi="等线" w:eastAsia="等线" w:cs="等线"/>
                <w:i w:val="0"/>
                <w:iCs w:val="0"/>
                <w:color w:val="000000"/>
                <w:kern w:val="0"/>
                <w:sz w:val="22"/>
                <w:szCs w:val="22"/>
                <w:highlight w:val="none"/>
                <w:u w:val="none"/>
                <w:lang w:val="en-US" w:eastAsia="zh-CN" w:bidi="ar"/>
              </w:rPr>
            </w:pPr>
          </w:p>
        </w:tc>
        <w:tc>
          <w:tcPr>
            <w:tcW w:w="544" w:type="dxa"/>
            <w:tcBorders>
              <w:top w:val="nil"/>
              <w:left w:val="nil"/>
              <w:bottom w:val="nil"/>
              <w:right w:val="nil"/>
            </w:tcBorders>
            <w:noWrap/>
            <w:vAlign w:val="center"/>
          </w:tcPr>
          <w:p w14:paraId="32D11AF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lang w:val="en-US" w:eastAsia="zh-CN" w:bidi="ar-SA"/>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ign w:val="center"/>
          </w:tcPr>
          <w:p w14:paraId="218D31D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lang w:val="en-US" w:eastAsia="zh-CN" w:bidi="ar-SA"/>
              </w:rPr>
            </w:pPr>
            <w:r>
              <w:rPr>
                <w:rFonts w:hint="eastAsia" w:ascii="等线" w:hAnsi="等线" w:eastAsia="等线" w:cs="等线"/>
                <w:i w:val="0"/>
                <w:iCs w:val="0"/>
                <w:color w:val="000000"/>
                <w:kern w:val="0"/>
                <w:sz w:val="22"/>
                <w:szCs w:val="22"/>
                <w:highlight w:val="none"/>
                <w:u w:val="none"/>
                <w:lang w:val="en-US" w:eastAsia="zh-CN" w:bidi="ar"/>
              </w:rPr>
              <w:t>套</w:t>
            </w:r>
          </w:p>
        </w:tc>
        <w:tc>
          <w:tcPr>
            <w:tcW w:w="1429" w:type="dxa"/>
            <w:tcBorders>
              <w:top w:val="nil"/>
              <w:left w:val="nil"/>
              <w:bottom w:val="nil"/>
              <w:right w:val="nil"/>
            </w:tcBorders>
            <w:noWrap/>
            <w:vAlign w:val="center"/>
          </w:tcPr>
          <w:p w14:paraId="6C9AEF9D">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28000</w:t>
            </w:r>
          </w:p>
        </w:tc>
      </w:tr>
      <w:tr w14:paraId="74D46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8" w:hRule="atLeast"/>
          <w:jc w:val="center"/>
        </w:trPr>
        <w:tc>
          <w:tcPr>
            <w:tcW w:w="390" w:type="dxa"/>
            <w:tcBorders>
              <w:top w:val="nil"/>
              <w:left w:val="nil"/>
              <w:bottom w:val="nil"/>
              <w:right w:val="nil"/>
            </w:tcBorders>
            <w:shd w:val="clear" w:color="auto" w:fill="D9D9D9"/>
            <w:noWrap/>
            <w:vAlign w:val="center"/>
          </w:tcPr>
          <w:p w14:paraId="0BB2E86A">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六</w:t>
            </w:r>
          </w:p>
        </w:tc>
        <w:tc>
          <w:tcPr>
            <w:tcW w:w="1643" w:type="dxa"/>
            <w:tcBorders>
              <w:top w:val="nil"/>
              <w:left w:val="nil"/>
              <w:bottom w:val="nil"/>
              <w:right w:val="nil"/>
            </w:tcBorders>
            <w:shd w:val="clear" w:color="auto" w:fill="D9D9D9"/>
            <w:noWrap/>
            <w:vAlign w:val="center"/>
          </w:tcPr>
          <w:p w14:paraId="5C963C1B">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票务相关硬件</w:t>
            </w:r>
          </w:p>
        </w:tc>
        <w:tc>
          <w:tcPr>
            <w:tcW w:w="4882" w:type="dxa"/>
            <w:tcBorders>
              <w:top w:val="nil"/>
              <w:left w:val="nil"/>
              <w:bottom w:val="nil"/>
              <w:right w:val="nil"/>
            </w:tcBorders>
            <w:shd w:val="clear" w:color="auto" w:fill="D9D9D9"/>
            <w:noWrap/>
            <w:vAlign w:val="center"/>
          </w:tcPr>
          <w:p w14:paraId="2F5FED69">
            <w:pPr>
              <w:keepNext/>
              <w:snapToGrid w:val="0"/>
              <w:jc w:val="left"/>
              <w:rPr>
                <w:rFonts w:hint="eastAsia" w:ascii="等线" w:hAnsi="宋体" w:eastAsia="等线" w:cs="黑体"/>
                <w:i w:val="0"/>
                <w:iCs w:val="0"/>
                <w:color w:val="000000"/>
                <w:sz w:val="22"/>
                <w:szCs w:val="22"/>
                <w:highlight w:val="none"/>
                <w:u w:val="none"/>
              </w:rPr>
            </w:pPr>
          </w:p>
        </w:tc>
        <w:tc>
          <w:tcPr>
            <w:tcW w:w="544" w:type="dxa"/>
            <w:tcBorders>
              <w:top w:val="nil"/>
              <w:left w:val="nil"/>
              <w:bottom w:val="nil"/>
              <w:right w:val="nil"/>
            </w:tcBorders>
            <w:shd w:val="clear" w:color="auto" w:fill="D9D9D9"/>
            <w:noWrap w:val="0"/>
            <w:vAlign w:val="center"/>
          </w:tcPr>
          <w:p w14:paraId="714D44CB">
            <w:pPr>
              <w:keepNext/>
              <w:snapToGrid w:val="0"/>
              <w:jc w:val="center"/>
              <w:rPr>
                <w:rFonts w:hint="eastAsia" w:ascii="等线" w:hAnsi="宋体" w:eastAsia="等线" w:cs="黑体"/>
                <w:b/>
                <w:bCs/>
                <w:i w:val="0"/>
                <w:iCs w:val="0"/>
                <w:color w:val="000000"/>
                <w:sz w:val="22"/>
                <w:szCs w:val="22"/>
                <w:highlight w:val="none"/>
                <w:u w:val="none"/>
              </w:rPr>
            </w:pPr>
          </w:p>
        </w:tc>
        <w:tc>
          <w:tcPr>
            <w:tcW w:w="628" w:type="dxa"/>
            <w:tcBorders>
              <w:top w:val="nil"/>
              <w:left w:val="nil"/>
              <w:bottom w:val="nil"/>
              <w:right w:val="nil"/>
            </w:tcBorders>
            <w:shd w:val="clear" w:color="auto" w:fill="D9D9D9"/>
            <w:noWrap w:val="0"/>
            <w:vAlign w:val="center"/>
          </w:tcPr>
          <w:p w14:paraId="41752DDF">
            <w:pPr>
              <w:keepNext/>
              <w:snapToGrid w:val="0"/>
              <w:jc w:val="center"/>
              <w:rPr>
                <w:rFonts w:hint="eastAsia" w:ascii="等线" w:hAnsi="宋体" w:eastAsia="等线" w:cs="黑体"/>
                <w:b/>
                <w:bCs/>
                <w:i w:val="0"/>
                <w:iCs w:val="0"/>
                <w:color w:val="000000"/>
                <w:sz w:val="22"/>
                <w:szCs w:val="22"/>
                <w:highlight w:val="none"/>
                <w:u w:val="none"/>
              </w:rPr>
            </w:pPr>
          </w:p>
        </w:tc>
        <w:tc>
          <w:tcPr>
            <w:tcW w:w="1429" w:type="dxa"/>
            <w:tcBorders>
              <w:top w:val="nil"/>
              <w:left w:val="nil"/>
              <w:bottom w:val="nil"/>
              <w:right w:val="nil"/>
            </w:tcBorders>
            <w:shd w:val="clear" w:color="auto" w:fill="D9D9D9"/>
            <w:noWrap w:val="0"/>
            <w:vAlign w:val="center"/>
          </w:tcPr>
          <w:p w14:paraId="6A293C8B">
            <w:pPr>
              <w:keepNext/>
              <w:snapToGrid w:val="0"/>
              <w:jc w:val="center"/>
              <w:rPr>
                <w:rFonts w:hint="eastAsia" w:ascii="等线" w:hAnsi="宋体" w:eastAsia="等线" w:cs="黑体"/>
                <w:b/>
                <w:bCs/>
                <w:i w:val="0"/>
                <w:iCs w:val="0"/>
                <w:color w:val="000000"/>
                <w:sz w:val="22"/>
                <w:szCs w:val="22"/>
                <w:highlight w:val="none"/>
                <w:u w:val="none"/>
              </w:rPr>
            </w:pPr>
          </w:p>
        </w:tc>
      </w:tr>
      <w:tr w14:paraId="32FE0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470" w:hRule="atLeast"/>
          <w:jc w:val="center"/>
        </w:trPr>
        <w:tc>
          <w:tcPr>
            <w:tcW w:w="390" w:type="dxa"/>
            <w:tcBorders>
              <w:top w:val="nil"/>
              <w:left w:val="nil"/>
              <w:bottom w:val="nil"/>
              <w:right w:val="nil"/>
            </w:tcBorders>
            <w:noWrap/>
            <w:vAlign w:val="center"/>
          </w:tcPr>
          <w:p w14:paraId="4FB198A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24</w:t>
            </w:r>
          </w:p>
        </w:tc>
        <w:tc>
          <w:tcPr>
            <w:tcW w:w="1643" w:type="dxa"/>
            <w:tcBorders>
              <w:top w:val="nil"/>
              <w:left w:val="nil"/>
              <w:bottom w:val="nil"/>
              <w:right w:val="nil"/>
            </w:tcBorders>
            <w:noWrap w:val="0"/>
            <w:vAlign w:val="center"/>
          </w:tcPr>
          <w:p w14:paraId="6F2099F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闸机面板改造</w:t>
            </w:r>
          </w:p>
        </w:tc>
        <w:tc>
          <w:tcPr>
            <w:tcW w:w="4882" w:type="dxa"/>
            <w:tcBorders>
              <w:top w:val="nil"/>
              <w:left w:val="nil"/>
              <w:bottom w:val="nil"/>
              <w:right w:val="nil"/>
            </w:tcBorders>
            <w:noWrap w:val="0"/>
            <w:vAlign w:val="center"/>
          </w:tcPr>
          <w:p w14:paraId="489A977F">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根据现有闸机进行升级改造，支配嵌入式二合一扫码器，顶部人脸一体机孔洞位置调整。</w:t>
            </w:r>
          </w:p>
        </w:tc>
        <w:tc>
          <w:tcPr>
            <w:tcW w:w="544" w:type="dxa"/>
            <w:tcBorders>
              <w:top w:val="nil"/>
              <w:left w:val="nil"/>
              <w:bottom w:val="nil"/>
              <w:right w:val="nil"/>
            </w:tcBorders>
            <w:noWrap w:val="0"/>
            <w:vAlign w:val="center"/>
          </w:tcPr>
          <w:p w14:paraId="527F1BE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7</w:t>
            </w:r>
          </w:p>
        </w:tc>
        <w:tc>
          <w:tcPr>
            <w:tcW w:w="628" w:type="dxa"/>
            <w:tcBorders>
              <w:top w:val="nil"/>
              <w:left w:val="nil"/>
              <w:bottom w:val="nil"/>
              <w:right w:val="nil"/>
            </w:tcBorders>
            <w:noWrap w:val="0"/>
            <w:vAlign w:val="center"/>
          </w:tcPr>
          <w:p w14:paraId="6B429733">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台</w:t>
            </w:r>
          </w:p>
        </w:tc>
        <w:tc>
          <w:tcPr>
            <w:tcW w:w="1429" w:type="dxa"/>
            <w:tcBorders>
              <w:top w:val="nil"/>
              <w:left w:val="nil"/>
              <w:bottom w:val="nil"/>
              <w:right w:val="nil"/>
            </w:tcBorders>
            <w:noWrap w:val="0"/>
            <w:vAlign w:val="center"/>
          </w:tcPr>
          <w:p w14:paraId="0DE7504E">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1680</w:t>
            </w:r>
          </w:p>
        </w:tc>
      </w:tr>
      <w:tr w14:paraId="0004E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595" w:hRule="atLeast"/>
          <w:jc w:val="center"/>
        </w:trPr>
        <w:tc>
          <w:tcPr>
            <w:tcW w:w="390" w:type="dxa"/>
            <w:tcBorders>
              <w:top w:val="nil"/>
              <w:left w:val="nil"/>
              <w:bottom w:val="nil"/>
              <w:right w:val="nil"/>
            </w:tcBorders>
            <w:noWrap/>
            <w:vAlign w:val="center"/>
          </w:tcPr>
          <w:p w14:paraId="3D063A99">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25</w:t>
            </w:r>
          </w:p>
        </w:tc>
        <w:tc>
          <w:tcPr>
            <w:tcW w:w="1643" w:type="dxa"/>
            <w:tcBorders>
              <w:top w:val="nil"/>
              <w:left w:val="nil"/>
              <w:bottom w:val="nil"/>
              <w:right w:val="nil"/>
            </w:tcBorders>
            <w:noWrap w:val="0"/>
            <w:vAlign w:val="center"/>
          </w:tcPr>
          <w:p w14:paraId="6490022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嵌入式二维码扫描器+身份证二合一</w:t>
            </w:r>
          </w:p>
        </w:tc>
        <w:tc>
          <w:tcPr>
            <w:tcW w:w="4882" w:type="dxa"/>
            <w:tcBorders>
              <w:top w:val="nil"/>
              <w:left w:val="nil"/>
              <w:bottom w:val="nil"/>
              <w:right w:val="nil"/>
            </w:tcBorders>
            <w:noWrap w:val="0"/>
            <w:vAlign w:val="center"/>
          </w:tcPr>
          <w:p w14:paraId="50EA943D">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1、传感器：CMOS sensor, pixels: 640*480,90fps</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2、照明：白光 LED（6500K）</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3、扫描视角：倾斜±65°，偏转±60°，旋转 360° ,对角 82°度</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4、识别速度：最大 20 厘米/秒</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5、工作温度：-20°C ~ +60°C</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6、储存温度：-40°C ~ +70°C</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7、工作湿度：5% ~ 95%（非凝结态）</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8、外观与结构:表面不应有明显的凹痕、划伤、裂缝、变形和污溃:表面应色泽均匀，不应有起泡、龟裂、脱落和损现象:金属零部件不应有锈蚀;结构应完整，操作键和开关应定位准确，操作灵活，连接可靠;开关、操作键、指示灯、插座等应有明确标志;</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9、工作频率:(fe):13.56MHz士7kHz。</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10、阅读器到居民身份证调制输出:</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(1)比特率106kbit/s(fc/128):</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(2)调制方式采用 ASK 调制:</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(3)调制系数为 8%-14%;</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(4)编码方式:NRZ-L:</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(5)调制波形应符合ISO/IEC 14443-2的规定。</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11、天线能量输出:</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(1)天线表面电磁场强度(Hu)≤7.5A/mrms,能量测试模拟卡(H.)的等效输出电压应不大于 3V(允许有 20%的测量误差):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(2)天线表面法线方向在最大阅读距离处电磁场强度(Hn)&gt;1.5 A/mrms,能量测试模拟卡(H)的等效输出电压应不小于 2V(允许有 20%的测量误差)。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12、静电放电抗扰度:在GB/T17626.2-2006等级3级条件下应能正常工作。</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13、射频电磁场辐射抗扰度:在GB/T17626.3-2006严酷等级2级的条件下，能正常工作。</w:t>
            </w:r>
          </w:p>
        </w:tc>
        <w:tc>
          <w:tcPr>
            <w:tcW w:w="544" w:type="dxa"/>
            <w:tcBorders>
              <w:top w:val="nil"/>
              <w:left w:val="nil"/>
              <w:bottom w:val="nil"/>
              <w:right w:val="nil"/>
            </w:tcBorders>
            <w:noWrap w:val="0"/>
            <w:vAlign w:val="center"/>
          </w:tcPr>
          <w:p w14:paraId="01F4B8C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10</w:t>
            </w:r>
          </w:p>
        </w:tc>
        <w:tc>
          <w:tcPr>
            <w:tcW w:w="628" w:type="dxa"/>
            <w:tcBorders>
              <w:top w:val="nil"/>
              <w:left w:val="nil"/>
              <w:bottom w:val="nil"/>
              <w:right w:val="nil"/>
            </w:tcBorders>
            <w:noWrap w:val="0"/>
            <w:vAlign w:val="center"/>
          </w:tcPr>
          <w:p w14:paraId="70CB5BB3">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台</w:t>
            </w:r>
          </w:p>
        </w:tc>
        <w:tc>
          <w:tcPr>
            <w:tcW w:w="1429" w:type="dxa"/>
            <w:tcBorders>
              <w:top w:val="nil"/>
              <w:left w:val="nil"/>
              <w:bottom w:val="nil"/>
              <w:right w:val="nil"/>
            </w:tcBorders>
            <w:noWrap w:val="0"/>
            <w:vAlign w:val="center"/>
          </w:tcPr>
          <w:p w14:paraId="67A0D059">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23800</w:t>
            </w:r>
          </w:p>
        </w:tc>
      </w:tr>
      <w:tr w14:paraId="438E3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020" w:hRule="atLeast"/>
          <w:jc w:val="center"/>
        </w:trPr>
        <w:tc>
          <w:tcPr>
            <w:tcW w:w="390" w:type="dxa"/>
            <w:tcBorders>
              <w:top w:val="nil"/>
              <w:left w:val="nil"/>
              <w:bottom w:val="nil"/>
              <w:right w:val="nil"/>
            </w:tcBorders>
            <w:noWrap/>
            <w:vAlign w:val="center"/>
          </w:tcPr>
          <w:p w14:paraId="58D8CAF1">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26</w:t>
            </w:r>
          </w:p>
        </w:tc>
        <w:tc>
          <w:tcPr>
            <w:tcW w:w="1643" w:type="dxa"/>
            <w:tcBorders>
              <w:top w:val="nil"/>
              <w:left w:val="nil"/>
              <w:bottom w:val="nil"/>
              <w:right w:val="nil"/>
            </w:tcBorders>
            <w:noWrap w:val="0"/>
            <w:vAlign w:val="center"/>
          </w:tcPr>
          <w:p w14:paraId="0E3861F3">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人脸识别设备</w:t>
            </w:r>
          </w:p>
        </w:tc>
        <w:tc>
          <w:tcPr>
            <w:tcW w:w="4882" w:type="dxa"/>
            <w:tcBorders>
              <w:top w:val="nil"/>
              <w:left w:val="nil"/>
              <w:bottom w:val="nil"/>
              <w:right w:val="nil"/>
            </w:tcBorders>
            <w:noWrap w:val="0"/>
            <w:vAlign w:val="center"/>
          </w:tcPr>
          <w:p w14:paraId="36088691">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 xml:space="preserve">显示屏：8英寸 IPS LCD 触摸屏，800×1280分辨率  </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xml:space="preserve">摄像机：RGB/IR 1/2.9" CMOS，1920×1080，视场角 46.2°×29.6°  </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xml:space="preserve">接口：RS-232×1，RS-485×1，继电器×1，门磁/按钮输入×2，网口×1，USB×2，IC卡，MIC×1，扬声器×1  </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xml:space="preserve">无线：Wi-Fi（2.4GHz），4G（三网通），蓝牙  </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 xml:space="preserve">系统：Android 9.0+，RK3568，2GB内存，16GB存储  </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常规：工作温度 -20℃~60℃，湿度 10%~90%，IP65防护，DC 12V/2A电源，尺寸 358×128×64mm</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支持对接支付宝系统刷脸算法，及本地私有化人脸算法。</w:t>
            </w:r>
          </w:p>
        </w:tc>
        <w:tc>
          <w:tcPr>
            <w:tcW w:w="544" w:type="dxa"/>
            <w:tcBorders>
              <w:top w:val="nil"/>
              <w:left w:val="nil"/>
              <w:bottom w:val="nil"/>
              <w:right w:val="nil"/>
            </w:tcBorders>
            <w:noWrap w:val="0"/>
            <w:vAlign w:val="center"/>
          </w:tcPr>
          <w:p w14:paraId="3A50AED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10</w:t>
            </w:r>
          </w:p>
        </w:tc>
        <w:tc>
          <w:tcPr>
            <w:tcW w:w="628" w:type="dxa"/>
            <w:tcBorders>
              <w:top w:val="nil"/>
              <w:left w:val="nil"/>
              <w:bottom w:val="nil"/>
              <w:right w:val="nil"/>
            </w:tcBorders>
            <w:noWrap w:val="0"/>
            <w:vAlign w:val="center"/>
          </w:tcPr>
          <w:p w14:paraId="48C79EA6">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台</w:t>
            </w:r>
          </w:p>
        </w:tc>
        <w:tc>
          <w:tcPr>
            <w:tcW w:w="1429" w:type="dxa"/>
            <w:tcBorders>
              <w:top w:val="nil"/>
              <w:left w:val="nil"/>
              <w:bottom w:val="nil"/>
              <w:right w:val="nil"/>
            </w:tcBorders>
            <w:noWrap w:val="0"/>
            <w:vAlign w:val="center"/>
          </w:tcPr>
          <w:p w14:paraId="7B3EFDD8">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75000</w:t>
            </w:r>
          </w:p>
        </w:tc>
      </w:tr>
      <w:tr w14:paraId="0B878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445" w:hRule="atLeast"/>
          <w:jc w:val="center"/>
        </w:trPr>
        <w:tc>
          <w:tcPr>
            <w:tcW w:w="390" w:type="dxa"/>
            <w:tcBorders>
              <w:top w:val="nil"/>
              <w:left w:val="nil"/>
              <w:bottom w:val="nil"/>
              <w:right w:val="nil"/>
            </w:tcBorders>
            <w:noWrap/>
            <w:vAlign w:val="center"/>
          </w:tcPr>
          <w:p w14:paraId="2D511FC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27</w:t>
            </w:r>
          </w:p>
        </w:tc>
        <w:tc>
          <w:tcPr>
            <w:tcW w:w="1643" w:type="dxa"/>
            <w:tcBorders>
              <w:top w:val="nil"/>
              <w:left w:val="nil"/>
              <w:bottom w:val="nil"/>
              <w:right w:val="nil"/>
            </w:tcBorders>
            <w:noWrap w:val="0"/>
            <w:vAlign w:val="center"/>
          </w:tcPr>
          <w:p w14:paraId="35E4A5A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检票三辊闸</w:t>
            </w:r>
          </w:p>
        </w:tc>
        <w:tc>
          <w:tcPr>
            <w:tcW w:w="4882" w:type="dxa"/>
            <w:tcBorders>
              <w:top w:val="nil"/>
              <w:left w:val="nil"/>
              <w:bottom w:val="nil"/>
              <w:right w:val="nil"/>
            </w:tcBorders>
            <w:noWrap w:val="0"/>
            <w:vAlign w:val="center"/>
          </w:tcPr>
          <w:p w14:paraId="1558BF4A">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1、核心配置：全自动双无刷电动PID算法伺服电机控制机芯，运行噪音＜50dB，寿命≥1000万次。</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2、警戒带集成：内置可伸缩警戒带（长度≥2米），支持快速收纳和固定，免装额外警戒柱。</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3、身高测量：内置可伸缩高精度数字卷尺（测高范围0.75~1.5米，误差±1cm）。</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4、状态指示：幻彩氛围灯+通行指示灯双重显示，同步通行状态。</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5、结构强度：加强型钢结构框架，抗冲击力≥80kg，含搬运手扣位。</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6、网络冗余：双网络冗余设计（有线+4G无线），智能切换保障网络持续畅通。</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7、断电续航：内置防爆备用电池，断电后可维持2小时以上正常运作。</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8、音频系统：20W高保真喇叭，音量≥90dB，支持语音内容定制（如错误提示、票种提醒）。</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9、消防合规：智能断电落杆（时间＜3秒），符合GB12955-2008标准。</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10、AI防冲撞：9路光电传感器定位（转杆定位误差≤5mm），防尾随响应＜0.5秒，支持逆向闯入声光报警。</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11、远程监控：物联网实时上传设备状态、客流量及环境数据（温湿度精度±1℃/±3%）。</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12、远程维护：支持PC/手机端远程升级及故障诊断。</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13、机械传动：不锈钢转杆配合80kgf离合装置，断电自动落杆，通电智能复位。</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14、电气安全：符合IEC61643-11标准，最大放电电流40kA（8/20μs），接地电阻≤4Ω，集成电源和网络双重防雷。</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15、通道参数：宽度≥550mm，通行效率≥20人/分钟（常闭模式）。</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16、验证方式：支持接入二维码/身份证/活体人脸识别（范围1.2-2.2m/0.5-3m，响应＜500ms）。</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▲17、检测认证：提供国内权威认证机构出具的整机检测报告及1000万次无故障测试报告（出具检测报告的检测机构需具备CNAS认证）。</w:t>
            </w:r>
          </w:p>
        </w:tc>
        <w:tc>
          <w:tcPr>
            <w:tcW w:w="544" w:type="dxa"/>
            <w:tcBorders>
              <w:top w:val="nil"/>
              <w:left w:val="nil"/>
              <w:bottom w:val="nil"/>
              <w:right w:val="nil"/>
            </w:tcBorders>
            <w:noWrap w:val="0"/>
            <w:vAlign w:val="center"/>
          </w:tcPr>
          <w:p w14:paraId="68C7C68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3</w:t>
            </w:r>
          </w:p>
        </w:tc>
        <w:tc>
          <w:tcPr>
            <w:tcW w:w="628" w:type="dxa"/>
            <w:tcBorders>
              <w:top w:val="nil"/>
              <w:left w:val="nil"/>
              <w:bottom w:val="nil"/>
              <w:right w:val="nil"/>
            </w:tcBorders>
            <w:noWrap w:val="0"/>
            <w:vAlign w:val="center"/>
          </w:tcPr>
          <w:p w14:paraId="76371CF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台</w:t>
            </w:r>
          </w:p>
        </w:tc>
        <w:tc>
          <w:tcPr>
            <w:tcW w:w="1429" w:type="dxa"/>
            <w:tcBorders>
              <w:top w:val="nil"/>
              <w:left w:val="nil"/>
              <w:bottom w:val="nil"/>
              <w:right w:val="nil"/>
            </w:tcBorders>
            <w:noWrap w:val="0"/>
            <w:vAlign w:val="center"/>
          </w:tcPr>
          <w:p w14:paraId="359764F1">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bidi="ar-SA"/>
              </w:rPr>
            </w:pPr>
            <w:r>
              <w:rPr>
                <w:rFonts w:hint="eastAsia" w:ascii="仿宋" w:hAnsi="仿宋" w:eastAsia="仿宋" w:cs="仿宋"/>
                <w:i w:val="0"/>
                <w:iCs w:val="0"/>
                <w:color w:val="000000"/>
                <w:kern w:val="0"/>
                <w:sz w:val="16"/>
                <w:szCs w:val="16"/>
                <w:u w:val="none"/>
                <w:lang w:val="en-US" w:eastAsia="zh-CN" w:bidi="ar"/>
              </w:rPr>
              <w:t>48000</w:t>
            </w:r>
          </w:p>
        </w:tc>
      </w:tr>
      <w:tr w14:paraId="04F2F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470" w:hRule="atLeast"/>
          <w:jc w:val="center"/>
        </w:trPr>
        <w:tc>
          <w:tcPr>
            <w:tcW w:w="390" w:type="dxa"/>
            <w:tcBorders>
              <w:top w:val="nil"/>
              <w:left w:val="nil"/>
              <w:bottom w:val="nil"/>
              <w:right w:val="nil"/>
            </w:tcBorders>
            <w:shd w:val="clear" w:color="auto" w:fill="D9D9D9"/>
            <w:noWrap/>
            <w:vAlign w:val="center"/>
          </w:tcPr>
          <w:p w14:paraId="1844D61A">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七</w:t>
            </w:r>
          </w:p>
        </w:tc>
        <w:tc>
          <w:tcPr>
            <w:tcW w:w="1643" w:type="dxa"/>
            <w:tcBorders>
              <w:top w:val="nil"/>
              <w:left w:val="nil"/>
              <w:bottom w:val="nil"/>
              <w:right w:val="nil"/>
            </w:tcBorders>
            <w:shd w:val="clear" w:color="auto" w:fill="D9D9D9"/>
            <w:noWrap/>
            <w:vAlign w:val="center"/>
          </w:tcPr>
          <w:p w14:paraId="671085A0">
            <w:pPr>
              <w:keepNext/>
              <w:keepLines w:val="0"/>
              <w:widowControl/>
              <w:suppressLineNumbers w:val="0"/>
              <w:snapToGrid w:val="0"/>
              <w:jc w:val="center"/>
              <w:textAlignment w:val="center"/>
              <w:rPr>
                <w:rFonts w:hint="eastAsia" w:ascii="等线" w:hAnsi="宋体" w:eastAsia="等线" w:cs="黑体"/>
                <w:i w:val="0"/>
                <w:iCs w:val="0"/>
                <w:color w:val="000000"/>
                <w:sz w:val="22"/>
                <w:szCs w:val="22"/>
                <w:highlight w:val="none"/>
                <w:u w:val="none"/>
              </w:rPr>
            </w:pPr>
            <w:r>
              <w:rPr>
                <w:rFonts w:hint="eastAsia" w:ascii="等线" w:hAnsi="宋体" w:eastAsia="等线" w:cs="黑体"/>
                <w:i w:val="0"/>
                <w:iCs w:val="0"/>
                <w:color w:val="000000"/>
                <w:kern w:val="0"/>
                <w:sz w:val="22"/>
                <w:szCs w:val="22"/>
                <w:highlight w:val="none"/>
                <w:u w:val="none"/>
                <w:lang w:val="en-US" w:eastAsia="zh-CN" w:bidi="ar"/>
              </w:rPr>
              <w:t>票务系统保障服务部分</w:t>
            </w:r>
          </w:p>
        </w:tc>
        <w:tc>
          <w:tcPr>
            <w:tcW w:w="4882" w:type="dxa"/>
            <w:tcBorders>
              <w:top w:val="nil"/>
              <w:left w:val="nil"/>
              <w:bottom w:val="nil"/>
              <w:right w:val="nil"/>
            </w:tcBorders>
            <w:shd w:val="clear" w:color="auto" w:fill="D9D9D9"/>
            <w:noWrap/>
            <w:vAlign w:val="center"/>
          </w:tcPr>
          <w:p w14:paraId="55B54877">
            <w:pPr>
              <w:keepNext/>
              <w:snapToGrid w:val="0"/>
              <w:jc w:val="left"/>
              <w:rPr>
                <w:rFonts w:hint="eastAsia" w:ascii="等线" w:hAnsi="宋体" w:eastAsia="等线" w:cs="黑体"/>
                <w:i w:val="0"/>
                <w:iCs w:val="0"/>
                <w:color w:val="000000"/>
                <w:sz w:val="22"/>
                <w:szCs w:val="22"/>
                <w:highlight w:val="none"/>
                <w:u w:val="none"/>
              </w:rPr>
            </w:pPr>
          </w:p>
        </w:tc>
        <w:tc>
          <w:tcPr>
            <w:tcW w:w="544" w:type="dxa"/>
            <w:tcBorders>
              <w:top w:val="nil"/>
              <w:left w:val="nil"/>
              <w:bottom w:val="nil"/>
              <w:right w:val="nil"/>
            </w:tcBorders>
            <w:shd w:val="clear" w:color="auto" w:fill="D9D9D9"/>
            <w:noWrap w:val="0"/>
            <w:vAlign w:val="center"/>
          </w:tcPr>
          <w:p w14:paraId="7ABA0451">
            <w:pPr>
              <w:keepNext/>
              <w:snapToGrid w:val="0"/>
              <w:jc w:val="center"/>
              <w:rPr>
                <w:rFonts w:hint="eastAsia" w:ascii="等线" w:hAnsi="宋体" w:eastAsia="等线" w:cs="黑体"/>
                <w:b/>
                <w:bCs/>
                <w:i w:val="0"/>
                <w:iCs w:val="0"/>
                <w:color w:val="000000"/>
                <w:sz w:val="22"/>
                <w:szCs w:val="22"/>
                <w:highlight w:val="none"/>
                <w:u w:val="none"/>
              </w:rPr>
            </w:pPr>
          </w:p>
        </w:tc>
        <w:tc>
          <w:tcPr>
            <w:tcW w:w="628" w:type="dxa"/>
            <w:tcBorders>
              <w:top w:val="nil"/>
              <w:left w:val="nil"/>
              <w:bottom w:val="nil"/>
              <w:right w:val="nil"/>
            </w:tcBorders>
            <w:shd w:val="clear" w:color="auto" w:fill="D9D9D9"/>
            <w:noWrap w:val="0"/>
            <w:vAlign w:val="center"/>
          </w:tcPr>
          <w:p w14:paraId="4202B38B">
            <w:pPr>
              <w:keepNext/>
              <w:snapToGrid w:val="0"/>
              <w:jc w:val="center"/>
              <w:rPr>
                <w:rFonts w:hint="eastAsia" w:ascii="等线" w:hAnsi="宋体" w:eastAsia="等线" w:cs="黑体"/>
                <w:b/>
                <w:bCs/>
                <w:i w:val="0"/>
                <w:iCs w:val="0"/>
                <w:color w:val="000000"/>
                <w:sz w:val="22"/>
                <w:szCs w:val="22"/>
                <w:highlight w:val="none"/>
                <w:u w:val="none"/>
              </w:rPr>
            </w:pPr>
          </w:p>
        </w:tc>
        <w:tc>
          <w:tcPr>
            <w:tcW w:w="1429" w:type="dxa"/>
            <w:tcBorders>
              <w:top w:val="nil"/>
              <w:left w:val="nil"/>
              <w:bottom w:val="nil"/>
              <w:right w:val="nil"/>
            </w:tcBorders>
            <w:shd w:val="clear" w:color="auto" w:fill="D9D9D9"/>
            <w:noWrap w:val="0"/>
            <w:vAlign w:val="center"/>
          </w:tcPr>
          <w:p w14:paraId="0B613810">
            <w:pPr>
              <w:keepNext/>
              <w:snapToGrid w:val="0"/>
              <w:jc w:val="center"/>
              <w:rPr>
                <w:rFonts w:hint="eastAsia" w:ascii="等线" w:hAnsi="宋体" w:eastAsia="等线" w:cs="黑体"/>
                <w:b/>
                <w:bCs/>
                <w:i w:val="0"/>
                <w:iCs w:val="0"/>
                <w:color w:val="000000"/>
                <w:sz w:val="22"/>
                <w:szCs w:val="22"/>
                <w:highlight w:val="none"/>
                <w:u w:val="none"/>
              </w:rPr>
            </w:pPr>
          </w:p>
        </w:tc>
      </w:tr>
      <w:tr w14:paraId="02B2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383" w:hRule="atLeast"/>
          <w:jc w:val="center"/>
        </w:trPr>
        <w:tc>
          <w:tcPr>
            <w:tcW w:w="390" w:type="dxa"/>
            <w:tcBorders>
              <w:top w:val="nil"/>
              <w:left w:val="nil"/>
              <w:bottom w:val="nil"/>
              <w:right w:val="nil"/>
            </w:tcBorders>
            <w:noWrap/>
            <w:vAlign w:val="center"/>
          </w:tcPr>
          <w:p w14:paraId="40932342">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28</w:t>
            </w:r>
          </w:p>
        </w:tc>
        <w:tc>
          <w:tcPr>
            <w:tcW w:w="1643" w:type="dxa"/>
            <w:tcBorders>
              <w:top w:val="nil"/>
              <w:left w:val="nil"/>
              <w:bottom w:val="nil"/>
              <w:right w:val="nil"/>
            </w:tcBorders>
            <w:noWrap w:val="0"/>
            <w:vAlign w:val="center"/>
          </w:tcPr>
          <w:p w14:paraId="069FC17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人脸识别终端服务</w:t>
            </w:r>
          </w:p>
        </w:tc>
        <w:tc>
          <w:tcPr>
            <w:tcW w:w="4882" w:type="dxa"/>
            <w:tcBorders>
              <w:top w:val="nil"/>
              <w:left w:val="nil"/>
              <w:bottom w:val="nil"/>
              <w:right w:val="nil"/>
            </w:tcBorders>
            <w:noWrap w:val="0"/>
            <w:vAlign w:val="center"/>
          </w:tcPr>
          <w:p w14:paraId="6587ABCE">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1.人脸识别模块</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1.1识别速度：≤0.3秒/人，准确率≥99%，误识率＜0.01%。</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1.2摄像头：≥200万像素，宽动态，适应强光、逆光等复杂光线。</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1.3活体检测：支持防照片、视频等伪造攻击，具备护照信息辅助识别能力。</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2.支付宝人脸库比对，无需单独采集人脸，凭下单的身份证号调取，游客直接刷脸过闸。</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备注：需对接支付宝系统与入口通道闸机配套使用，包含3年人脸识别相关调用付费。</w:t>
            </w:r>
          </w:p>
        </w:tc>
        <w:tc>
          <w:tcPr>
            <w:tcW w:w="544" w:type="dxa"/>
            <w:tcBorders>
              <w:top w:val="nil"/>
              <w:left w:val="nil"/>
              <w:bottom w:val="nil"/>
              <w:right w:val="nil"/>
            </w:tcBorders>
            <w:noWrap w:val="0"/>
            <w:vAlign w:val="center"/>
          </w:tcPr>
          <w:p w14:paraId="14DC20CC">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0"/>
            <w:vAlign w:val="center"/>
          </w:tcPr>
          <w:p w14:paraId="2CAE2104">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项</w:t>
            </w:r>
          </w:p>
        </w:tc>
        <w:tc>
          <w:tcPr>
            <w:tcW w:w="1429" w:type="dxa"/>
            <w:tcBorders>
              <w:top w:val="nil"/>
              <w:left w:val="nil"/>
              <w:bottom w:val="nil"/>
              <w:right w:val="nil"/>
            </w:tcBorders>
            <w:noWrap w:val="0"/>
            <w:vAlign w:val="center"/>
          </w:tcPr>
          <w:p w14:paraId="6D3F04DF">
            <w:pPr>
              <w:keepNext/>
              <w:keepLines w:val="0"/>
              <w:widowControl/>
              <w:suppressLineNumbers w:val="0"/>
              <w:snapToGrid w:val="0"/>
              <w:jc w:val="center"/>
              <w:textAlignment w:val="center"/>
              <w:rPr>
                <w:rFonts w:hint="eastAsia" w:ascii="等线" w:hAnsi="等线" w:eastAsia="等线" w:cs="等线"/>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16"/>
                <w:szCs w:val="16"/>
                <w:u w:val="none"/>
                <w:lang w:val="en-US" w:eastAsia="zh-CN" w:bidi="ar"/>
              </w:rPr>
              <w:t>14000</w:t>
            </w:r>
          </w:p>
        </w:tc>
      </w:tr>
      <w:tr w14:paraId="29A2C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445" w:hRule="atLeast"/>
          <w:jc w:val="center"/>
        </w:trPr>
        <w:tc>
          <w:tcPr>
            <w:tcW w:w="390" w:type="dxa"/>
            <w:tcBorders>
              <w:top w:val="nil"/>
              <w:left w:val="nil"/>
              <w:bottom w:val="nil"/>
              <w:right w:val="nil"/>
            </w:tcBorders>
            <w:noWrap/>
            <w:vAlign w:val="center"/>
          </w:tcPr>
          <w:p w14:paraId="5EE723B7">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29</w:t>
            </w:r>
          </w:p>
        </w:tc>
        <w:tc>
          <w:tcPr>
            <w:tcW w:w="1643" w:type="dxa"/>
            <w:tcBorders>
              <w:top w:val="nil"/>
              <w:left w:val="nil"/>
              <w:bottom w:val="nil"/>
              <w:right w:val="nil"/>
            </w:tcBorders>
            <w:noWrap w:val="0"/>
            <w:vAlign w:val="center"/>
          </w:tcPr>
          <w:p w14:paraId="1124828F">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云服务器（甲供）</w:t>
            </w:r>
          </w:p>
        </w:tc>
        <w:tc>
          <w:tcPr>
            <w:tcW w:w="4882" w:type="dxa"/>
            <w:tcBorders>
              <w:top w:val="nil"/>
              <w:left w:val="nil"/>
              <w:bottom w:val="nil"/>
              <w:right w:val="nil"/>
            </w:tcBorders>
            <w:noWrap w:val="0"/>
            <w:vAlign w:val="center"/>
          </w:tcPr>
          <w:p w14:paraId="5C3F8AA0">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1.总配置参数</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1.1CPU：≥8核16线程，主频≥3.0GHz。</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1.2内存：≥16GB。</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1.3存储：≥500GB SSD 固态硬盘。</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1.4带宽：≥100Mbps 独享带宽，支持弹性升级。</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2.服务器架构</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2.1部署CDN：减少源服务器带宽消耗。</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2.2增加缓存层：用 Redis 缓存高频查询数据。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2.3数据库分离：将数据库独立部署。</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3.性能与安全</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3.1并发连接数：支持≥1000 用户同时在线访问。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3.2数据备份：支持每日自动备份，备份数据保留≥30 天，可手动触发备份。</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3.3安全防护：具备 DDS 攻击防护、防火墙、数据加密功能，符合国家相关标准。</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4.服务与兼容性</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4.1操作系统：支持 Windws Server、Linux（CentOS/Ubuntu）。</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4.2服务：提供99.9%以上的运行时间保障，7×24小时技术支持。</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4.3兼容景区票务系统及各终端设备的数据交互协议。</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5.其他</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其他参数参考国家相关标准或行业相关标准。</w:t>
            </w:r>
          </w:p>
        </w:tc>
        <w:tc>
          <w:tcPr>
            <w:tcW w:w="544" w:type="dxa"/>
            <w:tcBorders>
              <w:top w:val="nil"/>
              <w:left w:val="nil"/>
              <w:bottom w:val="nil"/>
              <w:right w:val="nil"/>
            </w:tcBorders>
            <w:noWrap w:val="0"/>
            <w:vAlign w:val="center"/>
          </w:tcPr>
          <w:p w14:paraId="26AE5783">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0"/>
            <w:vAlign w:val="center"/>
          </w:tcPr>
          <w:p w14:paraId="71A1589D">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项</w:t>
            </w:r>
          </w:p>
        </w:tc>
        <w:tc>
          <w:tcPr>
            <w:tcW w:w="1429" w:type="dxa"/>
            <w:tcBorders>
              <w:top w:val="nil"/>
              <w:left w:val="nil"/>
              <w:bottom w:val="nil"/>
              <w:right w:val="nil"/>
            </w:tcBorders>
            <w:noWrap w:val="0"/>
            <w:vAlign w:val="center"/>
          </w:tcPr>
          <w:p w14:paraId="698ACC53">
            <w:pPr>
              <w:keepNext/>
              <w:keepLines w:val="0"/>
              <w:widowControl/>
              <w:suppressLineNumbers w:val="0"/>
              <w:snapToGrid w:val="0"/>
              <w:jc w:val="center"/>
              <w:textAlignment w:val="center"/>
              <w:rPr>
                <w:rFonts w:hint="default" w:ascii="等线" w:hAnsi="等线" w:eastAsia="等线" w:cs="等线"/>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16"/>
                <w:szCs w:val="16"/>
                <w:u w:val="none"/>
                <w:lang w:val="en-US" w:eastAsia="zh-CN" w:bidi="ar"/>
              </w:rPr>
              <w:t>0</w:t>
            </w:r>
          </w:p>
        </w:tc>
      </w:tr>
      <w:tr w14:paraId="69CF6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95" w:hRule="atLeast"/>
          <w:jc w:val="center"/>
        </w:trPr>
        <w:tc>
          <w:tcPr>
            <w:tcW w:w="390" w:type="dxa"/>
            <w:tcBorders>
              <w:top w:val="nil"/>
              <w:left w:val="nil"/>
              <w:bottom w:val="nil"/>
              <w:right w:val="nil"/>
            </w:tcBorders>
            <w:noWrap/>
            <w:vAlign w:val="center"/>
          </w:tcPr>
          <w:p w14:paraId="1CE17EA8">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30</w:t>
            </w:r>
          </w:p>
        </w:tc>
        <w:tc>
          <w:tcPr>
            <w:tcW w:w="1643" w:type="dxa"/>
            <w:tcBorders>
              <w:top w:val="nil"/>
              <w:left w:val="nil"/>
              <w:bottom w:val="nil"/>
              <w:right w:val="nil"/>
            </w:tcBorders>
            <w:noWrap w:val="0"/>
            <w:vAlign w:val="center"/>
          </w:tcPr>
          <w:p w14:paraId="48C934AE">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票务软件系统部署及维保</w:t>
            </w:r>
          </w:p>
        </w:tc>
        <w:tc>
          <w:tcPr>
            <w:tcW w:w="4882" w:type="dxa"/>
            <w:tcBorders>
              <w:top w:val="nil"/>
              <w:left w:val="nil"/>
              <w:bottom w:val="nil"/>
              <w:right w:val="nil"/>
            </w:tcBorders>
            <w:noWrap w:val="0"/>
            <w:vAlign w:val="center"/>
          </w:tcPr>
          <w:p w14:paraId="4F97A61C">
            <w:pPr>
              <w:keepNext/>
              <w:keepLines w:val="0"/>
              <w:widowControl/>
              <w:suppressLineNumbers w:val="0"/>
              <w:snapToGrid w:val="0"/>
              <w:jc w:val="left"/>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系统部署服务，包括硬件设备安装调试、软件系统部署与配置，需满足目前主流AAAA景区标准的“身份证、二维码、人脸识别”等功能及需求。</w:t>
            </w:r>
            <w:r>
              <w:rPr>
                <w:rFonts w:hint="eastAsia" w:ascii="等线" w:hAnsi="等线" w:eastAsia="等线" w:cs="等线"/>
                <w:i w:val="0"/>
                <w:iCs w:val="0"/>
                <w:color w:val="000000"/>
                <w:kern w:val="0"/>
                <w:sz w:val="22"/>
                <w:szCs w:val="22"/>
                <w:highlight w:val="none"/>
                <w:u w:val="none"/>
                <w:lang w:val="en-US" w:eastAsia="zh-CN" w:bidi="ar"/>
              </w:rPr>
              <w:br w:type="textWrapping"/>
            </w:r>
            <w:r>
              <w:rPr>
                <w:rFonts w:hint="eastAsia" w:ascii="等线" w:hAnsi="等线" w:eastAsia="等线" w:cs="等线"/>
                <w:i w:val="0"/>
                <w:iCs w:val="0"/>
                <w:color w:val="000000"/>
                <w:kern w:val="0"/>
                <w:sz w:val="22"/>
                <w:szCs w:val="22"/>
                <w:highlight w:val="none"/>
                <w:u w:val="none"/>
                <w:lang w:val="en-US" w:eastAsia="zh-CN" w:bidi="ar"/>
              </w:rPr>
              <w:t>备注：服务期5年，含5年维修保障费用。</w:t>
            </w:r>
          </w:p>
        </w:tc>
        <w:tc>
          <w:tcPr>
            <w:tcW w:w="544" w:type="dxa"/>
            <w:tcBorders>
              <w:top w:val="nil"/>
              <w:left w:val="nil"/>
              <w:bottom w:val="nil"/>
              <w:right w:val="nil"/>
            </w:tcBorders>
            <w:noWrap w:val="0"/>
            <w:vAlign w:val="center"/>
          </w:tcPr>
          <w:p w14:paraId="74EC44AB">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0"/>
            <w:vAlign w:val="center"/>
          </w:tcPr>
          <w:p w14:paraId="468F8280">
            <w:pPr>
              <w:keepNext/>
              <w:keepLines w:val="0"/>
              <w:widowControl/>
              <w:suppressLineNumbers w:val="0"/>
              <w:snapToGrid w:val="0"/>
              <w:jc w:val="center"/>
              <w:textAlignment w:val="center"/>
              <w:rPr>
                <w:rFonts w:hint="eastAsia" w:ascii="等线" w:hAnsi="等线" w:eastAsia="等线" w:cs="等线"/>
                <w:i w:val="0"/>
                <w:iCs w:val="0"/>
                <w:color w:val="000000"/>
                <w:sz w:val="22"/>
                <w:szCs w:val="22"/>
                <w:highlight w:val="none"/>
                <w:u w:val="none"/>
              </w:rPr>
            </w:pPr>
            <w:r>
              <w:rPr>
                <w:rFonts w:hint="eastAsia" w:ascii="等线" w:hAnsi="等线" w:eastAsia="等线" w:cs="等线"/>
                <w:i w:val="0"/>
                <w:iCs w:val="0"/>
                <w:color w:val="000000"/>
                <w:kern w:val="0"/>
                <w:sz w:val="22"/>
                <w:szCs w:val="22"/>
                <w:highlight w:val="none"/>
                <w:u w:val="none"/>
                <w:lang w:val="en-US" w:eastAsia="zh-CN" w:bidi="ar"/>
              </w:rPr>
              <w:t>项</w:t>
            </w:r>
          </w:p>
        </w:tc>
        <w:tc>
          <w:tcPr>
            <w:tcW w:w="1429" w:type="dxa"/>
            <w:tcBorders>
              <w:top w:val="nil"/>
              <w:left w:val="nil"/>
              <w:bottom w:val="nil"/>
              <w:right w:val="nil"/>
            </w:tcBorders>
            <w:noWrap w:val="0"/>
            <w:vAlign w:val="center"/>
          </w:tcPr>
          <w:p w14:paraId="71782C55">
            <w:pPr>
              <w:keepNext/>
              <w:keepLines w:val="0"/>
              <w:widowControl/>
              <w:suppressLineNumbers w:val="0"/>
              <w:snapToGrid w:val="0"/>
              <w:jc w:val="center"/>
              <w:textAlignment w:val="center"/>
              <w:rPr>
                <w:rFonts w:hint="eastAsia" w:ascii="等线" w:hAnsi="等线" w:eastAsia="等线" w:cs="等线"/>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16"/>
                <w:szCs w:val="16"/>
                <w:u w:val="none"/>
                <w:lang w:val="en-US" w:eastAsia="zh-CN" w:bidi="ar"/>
              </w:rPr>
              <w:t>48000</w:t>
            </w:r>
          </w:p>
        </w:tc>
      </w:tr>
      <w:tr w14:paraId="7A694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08" w:hRule="atLeast"/>
          <w:jc w:val="center"/>
        </w:trPr>
        <w:tc>
          <w:tcPr>
            <w:tcW w:w="390" w:type="dxa"/>
            <w:tcBorders>
              <w:top w:val="nil"/>
              <w:left w:val="nil"/>
              <w:bottom w:val="nil"/>
              <w:right w:val="nil"/>
            </w:tcBorders>
            <w:noWrap/>
            <w:vAlign w:val="center"/>
          </w:tcPr>
          <w:p w14:paraId="04BB91F1">
            <w:pPr>
              <w:keepNext/>
              <w:keepLines w:val="0"/>
              <w:widowControl/>
              <w:suppressLineNumbers w:val="0"/>
              <w:snapToGrid w:val="0"/>
              <w:jc w:val="center"/>
              <w:textAlignment w:val="center"/>
              <w:rPr>
                <w:rFonts w:hint="eastAsia" w:ascii="等线" w:hAnsi="等线" w:eastAsia="等线" w:cs="等线"/>
                <w:b w:val="0"/>
                <w:bCs/>
                <w:i w:val="0"/>
                <w:iCs w:val="0"/>
                <w:color w:val="000000"/>
                <w:sz w:val="22"/>
                <w:szCs w:val="22"/>
                <w:highlight w:val="none"/>
                <w:u w:val="none"/>
              </w:rPr>
            </w:pPr>
            <w:r>
              <w:rPr>
                <w:rFonts w:hint="eastAsia" w:ascii="等线" w:hAnsi="等线" w:eastAsia="等线" w:cs="等线"/>
                <w:b w:val="0"/>
                <w:bCs/>
                <w:i w:val="0"/>
                <w:iCs w:val="0"/>
                <w:color w:val="000000"/>
                <w:kern w:val="0"/>
                <w:sz w:val="22"/>
                <w:szCs w:val="22"/>
                <w:highlight w:val="none"/>
                <w:u w:val="none"/>
                <w:lang w:val="en-US" w:eastAsia="zh-CN" w:bidi="ar"/>
              </w:rPr>
              <w:t>31</w:t>
            </w:r>
          </w:p>
        </w:tc>
        <w:tc>
          <w:tcPr>
            <w:tcW w:w="1643" w:type="dxa"/>
            <w:tcBorders>
              <w:top w:val="nil"/>
              <w:left w:val="nil"/>
              <w:bottom w:val="nil"/>
              <w:right w:val="nil"/>
            </w:tcBorders>
            <w:noWrap w:val="0"/>
            <w:vAlign w:val="center"/>
          </w:tcPr>
          <w:p w14:paraId="061F9AE7">
            <w:pPr>
              <w:keepNext/>
              <w:keepLines w:val="0"/>
              <w:widowControl/>
              <w:suppressLineNumbers w:val="0"/>
              <w:snapToGrid w:val="0"/>
              <w:jc w:val="center"/>
              <w:textAlignment w:val="center"/>
              <w:rPr>
                <w:rFonts w:hint="eastAsia" w:ascii="等线" w:hAnsi="等线" w:eastAsia="等线" w:cs="等线"/>
                <w:b w:val="0"/>
                <w:bCs/>
                <w:i w:val="0"/>
                <w:iCs w:val="0"/>
                <w:color w:val="000000"/>
                <w:sz w:val="22"/>
                <w:szCs w:val="22"/>
                <w:highlight w:val="none"/>
                <w:u w:val="none"/>
              </w:rPr>
            </w:pPr>
            <w:r>
              <w:rPr>
                <w:rFonts w:hint="eastAsia" w:ascii="等线" w:hAnsi="等线" w:eastAsia="等线" w:cs="等线"/>
                <w:b w:val="0"/>
                <w:bCs/>
                <w:i w:val="0"/>
                <w:iCs w:val="0"/>
                <w:color w:val="000000"/>
                <w:kern w:val="0"/>
                <w:sz w:val="22"/>
                <w:szCs w:val="22"/>
                <w:highlight w:val="none"/>
                <w:u w:val="none"/>
                <w:lang w:val="en-US" w:eastAsia="zh-CN" w:bidi="ar"/>
              </w:rPr>
              <w:t>票务系统硬件部分安装调试及维保</w:t>
            </w:r>
          </w:p>
        </w:tc>
        <w:tc>
          <w:tcPr>
            <w:tcW w:w="4882" w:type="dxa"/>
            <w:tcBorders>
              <w:top w:val="nil"/>
              <w:left w:val="nil"/>
              <w:bottom w:val="nil"/>
              <w:right w:val="nil"/>
            </w:tcBorders>
            <w:noWrap w:val="0"/>
            <w:vAlign w:val="center"/>
          </w:tcPr>
          <w:p w14:paraId="03009CC7">
            <w:pPr>
              <w:keepNext/>
              <w:keepLines w:val="0"/>
              <w:widowControl/>
              <w:suppressLineNumbers w:val="0"/>
              <w:snapToGrid w:val="0"/>
              <w:jc w:val="left"/>
              <w:textAlignment w:val="center"/>
              <w:rPr>
                <w:rFonts w:hint="eastAsia" w:ascii="等线" w:hAnsi="等线" w:eastAsia="等线" w:cs="等线"/>
                <w:b w:val="0"/>
                <w:bCs/>
                <w:i w:val="0"/>
                <w:iCs w:val="0"/>
                <w:color w:val="000000"/>
                <w:sz w:val="22"/>
                <w:szCs w:val="22"/>
                <w:highlight w:val="none"/>
                <w:u w:val="none"/>
              </w:rPr>
            </w:pPr>
            <w:r>
              <w:rPr>
                <w:rFonts w:hint="eastAsia" w:ascii="等线" w:hAnsi="等线" w:eastAsia="等线" w:cs="等线"/>
                <w:b w:val="0"/>
                <w:bCs/>
                <w:i w:val="0"/>
                <w:iCs w:val="0"/>
                <w:color w:val="000000"/>
                <w:kern w:val="0"/>
                <w:sz w:val="22"/>
                <w:szCs w:val="22"/>
                <w:highlight w:val="none"/>
                <w:u w:val="none"/>
                <w:lang w:val="en-US" w:eastAsia="zh-CN" w:bidi="ar"/>
              </w:rPr>
              <w:t>包含硬件设备安装、调试、维保等工作。工作日内需7*24小时保持通讯畅通，48小时内可实现人工维护。</w:t>
            </w:r>
            <w:r>
              <w:rPr>
                <w:rFonts w:hint="eastAsia" w:ascii="等线" w:hAnsi="等线" w:eastAsia="等线" w:cs="等线"/>
                <w:b w:val="0"/>
                <w:bCs/>
                <w:i w:val="0"/>
                <w:iCs w:val="0"/>
                <w:color w:val="000000"/>
                <w:kern w:val="0"/>
                <w:sz w:val="22"/>
                <w:szCs w:val="22"/>
                <w:highlight w:val="none"/>
                <w:u w:val="none"/>
                <w:lang w:val="en-US" w:eastAsia="zh-CN" w:bidi="ar"/>
              </w:rPr>
              <w:br w:type="textWrapping"/>
            </w:r>
            <w:r>
              <w:rPr>
                <w:rFonts w:hint="eastAsia" w:ascii="等线" w:hAnsi="等线" w:eastAsia="等线" w:cs="等线"/>
                <w:b w:val="0"/>
                <w:bCs/>
                <w:i w:val="0"/>
                <w:iCs w:val="0"/>
                <w:color w:val="000000"/>
                <w:kern w:val="0"/>
                <w:sz w:val="22"/>
                <w:szCs w:val="22"/>
                <w:highlight w:val="none"/>
                <w:u w:val="none"/>
                <w:lang w:val="en-US" w:eastAsia="zh-CN" w:bidi="ar"/>
              </w:rPr>
              <w:t>备注：服务期5年（硬件设备按照国家三包政策执行）</w:t>
            </w:r>
          </w:p>
        </w:tc>
        <w:tc>
          <w:tcPr>
            <w:tcW w:w="544" w:type="dxa"/>
            <w:tcBorders>
              <w:top w:val="nil"/>
              <w:left w:val="nil"/>
              <w:bottom w:val="nil"/>
              <w:right w:val="nil"/>
            </w:tcBorders>
            <w:noWrap w:val="0"/>
            <w:vAlign w:val="center"/>
          </w:tcPr>
          <w:p w14:paraId="3B8C0211">
            <w:pPr>
              <w:keepNext/>
              <w:keepLines w:val="0"/>
              <w:widowControl/>
              <w:suppressLineNumbers w:val="0"/>
              <w:snapToGrid w:val="0"/>
              <w:jc w:val="center"/>
              <w:textAlignment w:val="center"/>
              <w:rPr>
                <w:rFonts w:hint="eastAsia" w:ascii="等线" w:hAnsi="等线" w:eastAsia="等线" w:cs="等线"/>
                <w:b w:val="0"/>
                <w:bCs/>
                <w:i w:val="0"/>
                <w:iCs w:val="0"/>
                <w:color w:val="000000"/>
                <w:sz w:val="22"/>
                <w:szCs w:val="22"/>
                <w:highlight w:val="none"/>
                <w:u w:val="none"/>
              </w:rPr>
            </w:pPr>
            <w:r>
              <w:rPr>
                <w:rFonts w:hint="eastAsia" w:ascii="等线" w:hAnsi="等线" w:eastAsia="等线" w:cs="等线"/>
                <w:b w:val="0"/>
                <w:bCs/>
                <w:i w:val="0"/>
                <w:iCs w:val="0"/>
                <w:color w:val="000000"/>
                <w:kern w:val="0"/>
                <w:sz w:val="22"/>
                <w:szCs w:val="22"/>
                <w:highlight w:val="none"/>
                <w:u w:val="none"/>
                <w:lang w:val="en-US" w:eastAsia="zh-CN" w:bidi="ar"/>
              </w:rPr>
              <w:t>1</w:t>
            </w:r>
          </w:p>
        </w:tc>
        <w:tc>
          <w:tcPr>
            <w:tcW w:w="628" w:type="dxa"/>
            <w:tcBorders>
              <w:top w:val="nil"/>
              <w:left w:val="nil"/>
              <w:bottom w:val="nil"/>
              <w:right w:val="nil"/>
            </w:tcBorders>
            <w:noWrap w:val="0"/>
            <w:vAlign w:val="center"/>
          </w:tcPr>
          <w:p w14:paraId="5441E8C7">
            <w:pPr>
              <w:keepNext/>
              <w:keepLines w:val="0"/>
              <w:widowControl/>
              <w:suppressLineNumbers w:val="0"/>
              <w:snapToGrid w:val="0"/>
              <w:jc w:val="center"/>
              <w:textAlignment w:val="center"/>
              <w:rPr>
                <w:rFonts w:hint="eastAsia" w:ascii="等线" w:hAnsi="等线" w:eastAsia="等线" w:cs="等线"/>
                <w:b w:val="0"/>
                <w:bCs/>
                <w:i w:val="0"/>
                <w:iCs w:val="0"/>
                <w:color w:val="000000"/>
                <w:sz w:val="22"/>
                <w:szCs w:val="22"/>
                <w:highlight w:val="none"/>
                <w:u w:val="none"/>
              </w:rPr>
            </w:pPr>
            <w:r>
              <w:rPr>
                <w:rFonts w:hint="eastAsia" w:ascii="等线" w:hAnsi="等线" w:eastAsia="等线" w:cs="等线"/>
                <w:b w:val="0"/>
                <w:bCs/>
                <w:i w:val="0"/>
                <w:iCs w:val="0"/>
                <w:color w:val="000000"/>
                <w:kern w:val="0"/>
                <w:sz w:val="22"/>
                <w:szCs w:val="22"/>
                <w:highlight w:val="none"/>
                <w:u w:val="none"/>
                <w:lang w:val="en-US" w:eastAsia="zh-CN" w:bidi="ar"/>
              </w:rPr>
              <w:t>项</w:t>
            </w:r>
          </w:p>
        </w:tc>
        <w:tc>
          <w:tcPr>
            <w:tcW w:w="1429" w:type="dxa"/>
            <w:tcBorders>
              <w:top w:val="nil"/>
              <w:left w:val="nil"/>
              <w:bottom w:val="nil"/>
              <w:right w:val="nil"/>
            </w:tcBorders>
            <w:noWrap w:val="0"/>
            <w:vAlign w:val="center"/>
          </w:tcPr>
          <w:p w14:paraId="47C570DC">
            <w:pPr>
              <w:keepNext/>
              <w:keepLines w:val="0"/>
              <w:widowControl/>
              <w:suppressLineNumbers w:val="0"/>
              <w:snapToGrid w:val="0"/>
              <w:jc w:val="center"/>
              <w:textAlignment w:val="center"/>
              <w:rPr>
                <w:rFonts w:hint="eastAsia" w:ascii="等线" w:hAnsi="等线" w:eastAsia="等线" w:cs="等线"/>
                <w:b w:val="0"/>
                <w:bCs/>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16"/>
                <w:szCs w:val="16"/>
                <w:u w:val="none"/>
                <w:lang w:val="en-US" w:eastAsia="zh-CN" w:bidi="ar"/>
              </w:rPr>
              <w:t>32000</w:t>
            </w:r>
          </w:p>
        </w:tc>
      </w:tr>
      <w:tr w14:paraId="4BB36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49" w:hRule="atLeast"/>
          <w:jc w:val="center"/>
        </w:trPr>
        <w:tc>
          <w:tcPr>
            <w:tcW w:w="390" w:type="dxa"/>
            <w:tcBorders>
              <w:top w:val="nil"/>
              <w:left w:val="nil"/>
              <w:bottom w:val="nil"/>
              <w:right w:val="nil"/>
            </w:tcBorders>
            <w:shd w:val="clear" w:color="auto" w:fill="D9D9D9"/>
            <w:noWrap/>
            <w:vAlign w:val="center"/>
          </w:tcPr>
          <w:p w14:paraId="186D8D38">
            <w:pPr>
              <w:keepNext/>
              <w:snapToGrid w:val="0"/>
              <w:jc w:val="center"/>
              <w:rPr>
                <w:rFonts w:hint="eastAsia" w:ascii="黑体" w:hAnsi="宋体" w:eastAsia="黑体" w:cs="黑体"/>
                <w:b/>
                <w:bCs/>
                <w:i w:val="0"/>
                <w:iCs w:val="0"/>
                <w:color w:val="000000"/>
                <w:sz w:val="22"/>
                <w:szCs w:val="22"/>
                <w:highlight w:val="none"/>
                <w:u w:val="none"/>
              </w:rPr>
            </w:pPr>
          </w:p>
        </w:tc>
        <w:tc>
          <w:tcPr>
            <w:tcW w:w="1643" w:type="dxa"/>
            <w:tcBorders>
              <w:top w:val="nil"/>
              <w:left w:val="nil"/>
              <w:bottom w:val="nil"/>
              <w:right w:val="nil"/>
            </w:tcBorders>
            <w:shd w:val="clear" w:color="auto" w:fill="D9D9D9"/>
            <w:noWrap w:val="0"/>
            <w:vAlign w:val="center"/>
          </w:tcPr>
          <w:p w14:paraId="128281CD">
            <w:pPr>
              <w:keepNext/>
              <w:keepLines w:val="0"/>
              <w:widowControl/>
              <w:suppressLineNumbers w:val="0"/>
              <w:snapToGrid w:val="0"/>
              <w:jc w:val="center"/>
              <w:textAlignment w:val="center"/>
              <w:rPr>
                <w:rFonts w:hint="eastAsia" w:ascii="黑体" w:hAnsi="宋体" w:eastAsia="黑体" w:cs="黑体"/>
                <w:b/>
                <w:bCs/>
                <w:i w:val="0"/>
                <w:iCs w:val="0"/>
                <w:color w:val="000000"/>
                <w:sz w:val="22"/>
                <w:szCs w:val="22"/>
                <w:highlight w:val="none"/>
                <w:u w:val="none"/>
              </w:rPr>
            </w:pPr>
            <w:r>
              <w:rPr>
                <w:rFonts w:hint="eastAsia" w:ascii="黑体" w:hAnsi="宋体" w:eastAsia="黑体" w:cs="黑体"/>
                <w:b/>
                <w:bCs/>
                <w:i w:val="0"/>
                <w:iCs w:val="0"/>
                <w:color w:val="000000"/>
                <w:kern w:val="0"/>
                <w:sz w:val="22"/>
                <w:szCs w:val="22"/>
                <w:highlight w:val="none"/>
                <w:u w:val="none"/>
                <w:lang w:val="en-US" w:eastAsia="zh-CN" w:bidi="ar"/>
              </w:rPr>
              <w:t>合计</w:t>
            </w:r>
          </w:p>
        </w:tc>
        <w:tc>
          <w:tcPr>
            <w:tcW w:w="4882" w:type="dxa"/>
            <w:tcBorders>
              <w:top w:val="nil"/>
              <w:left w:val="nil"/>
              <w:bottom w:val="nil"/>
              <w:right w:val="nil"/>
            </w:tcBorders>
            <w:shd w:val="clear" w:color="auto" w:fill="D9D9D9"/>
            <w:noWrap w:val="0"/>
            <w:vAlign w:val="center"/>
          </w:tcPr>
          <w:p w14:paraId="4EC9638C">
            <w:pPr>
              <w:keepNext/>
              <w:snapToGrid w:val="0"/>
              <w:jc w:val="center"/>
              <w:rPr>
                <w:rFonts w:hint="eastAsia" w:ascii="黑体" w:hAnsi="宋体" w:eastAsia="黑体" w:cs="黑体"/>
                <w:b/>
                <w:bCs/>
                <w:i w:val="0"/>
                <w:iCs w:val="0"/>
                <w:color w:val="000000"/>
                <w:sz w:val="22"/>
                <w:szCs w:val="22"/>
                <w:highlight w:val="none"/>
                <w:u w:val="none"/>
              </w:rPr>
            </w:pPr>
          </w:p>
        </w:tc>
        <w:tc>
          <w:tcPr>
            <w:tcW w:w="544" w:type="dxa"/>
            <w:tcBorders>
              <w:top w:val="nil"/>
              <w:left w:val="nil"/>
              <w:bottom w:val="nil"/>
              <w:right w:val="nil"/>
            </w:tcBorders>
            <w:shd w:val="clear" w:color="auto" w:fill="D9D9D9"/>
            <w:noWrap w:val="0"/>
            <w:vAlign w:val="center"/>
          </w:tcPr>
          <w:p w14:paraId="06057980">
            <w:pPr>
              <w:keepNext/>
              <w:snapToGrid w:val="0"/>
              <w:jc w:val="center"/>
              <w:rPr>
                <w:rFonts w:hint="eastAsia" w:ascii="黑体" w:hAnsi="宋体" w:eastAsia="黑体" w:cs="黑体"/>
                <w:b/>
                <w:bCs/>
                <w:i w:val="0"/>
                <w:iCs w:val="0"/>
                <w:color w:val="000000"/>
                <w:sz w:val="22"/>
                <w:szCs w:val="22"/>
                <w:highlight w:val="none"/>
                <w:u w:val="none"/>
              </w:rPr>
            </w:pPr>
          </w:p>
        </w:tc>
        <w:tc>
          <w:tcPr>
            <w:tcW w:w="628" w:type="dxa"/>
            <w:tcBorders>
              <w:top w:val="nil"/>
              <w:left w:val="nil"/>
              <w:bottom w:val="nil"/>
              <w:right w:val="nil"/>
            </w:tcBorders>
            <w:shd w:val="clear" w:color="auto" w:fill="D9D9D9"/>
            <w:noWrap w:val="0"/>
            <w:vAlign w:val="center"/>
          </w:tcPr>
          <w:p w14:paraId="1DB4C294">
            <w:pPr>
              <w:keepNext/>
              <w:snapToGrid w:val="0"/>
              <w:jc w:val="center"/>
              <w:rPr>
                <w:rFonts w:hint="eastAsia" w:ascii="黑体" w:hAnsi="宋体" w:eastAsia="黑体" w:cs="黑体"/>
                <w:b/>
                <w:bCs/>
                <w:i w:val="0"/>
                <w:iCs w:val="0"/>
                <w:color w:val="000000"/>
                <w:sz w:val="22"/>
                <w:szCs w:val="22"/>
                <w:highlight w:val="none"/>
                <w:u w:val="none"/>
              </w:rPr>
            </w:pPr>
          </w:p>
        </w:tc>
        <w:tc>
          <w:tcPr>
            <w:tcW w:w="1429" w:type="dxa"/>
            <w:tcBorders>
              <w:top w:val="nil"/>
              <w:left w:val="nil"/>
              <w:bottom w:val="nil"/>
              <w:right w:val="nil"/>
            </w:tcBorders>
            <w:shd w:val="clear" w:color="auto" w:fill="D9D9D9"/>
            <w:noWrap w:val="0"/>
            <w:vAlign w:val="center"/>
          </w:tcPr>
          <w:p w14:paraId="3877373B">
            <w:pPr>
              <w:keepNext/>
              <w:snapToGrid w:val="0"/>
              <w:jc w:val="center"/>
              <w:rPr>
                <w:rFonts w:hint="eastAsia" w:ascii="黑体" w:hAnsi="宋体" w:eastAsia="黑体" w:cs="黑体"/>
                <w:b/>
                <w:bCs/>
                <w:i w:val="0"/>
                <w:iCs w:val="0"/>
                <w:color w:val="000000"/>
                <w:sz w:val="22"/>
                <w:szCs w:val="22"/>
                <w:highlight w:val="none"/>
                <w:u w:val="none"/>
                <w:lang w:val="en-US" w:eastAsia="zh-CN"/>
              </w:rPr>
            </w:pPr>
            <w:r>
              <w:rPr>
                <w:rFonts w:hint="eastAsia" w:ascii="黑体" w:hAnsi="宋体" w:eastAsia="黑体" w:cs="黑体"/>
                <w:b/>
                <w:bCs/>
                <w:i w:val="0"/>
                <w:iCs w:val="0"/>
                <w:color w:val="000000"/>
                <w:sz w:val="21"/>
                <w:szCs w:val="21"/>
                <w:highlight w:val="none"/>
                <w:u w:val="none"/>
                <w:lang w:val="en-US" w:eastAsia="zh-CN"/>
              </w:rPr>
              <w:t>691330.00元</w:t>
            </w:r>
          </w:p>
        </w:tc>
      </w:tr>
      <w:tr w14:paraId="2A82B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673" w:hRule="atLeast"/>
          <w:jc w:val="center"/>
        </w:trPr>
        <w:tc>
          <w:tcPr>
            <w:tcW w:w="8087" w:type="dxa"/>
            <w:gridSpan w:val="5"/>
            <w:tcBorders>
              <w:top w:val="nil"/>
              <w:left w:val="nil"/>
              <w:bottom w:val="nil"/>
              <w:right w:val="nil"/>
            </w:tcBorders>
            <w:noWrap w:val="0"/>
            <w:vAlign w:val="center"/>
          </w:tcPr>
          <w:p w14:paraId="5596794D">
            <w:pPr>
              <w:keepNext/>
              <w:keepLines w:val="0"/>
              <w:widowControl/>
              <w:suppressLineNumbers w:val="0"/>
              <w:snapToGrid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1、票务系统要求独立云部署至云服务器，提供独立云部署承诺函，备注部署工期，格式自拟。</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2、上述技术参数要求为采购人的基本要求，供应商应按上述要求提供或提供优于上述要求的货物或服务，且保证配套硬件设备与系统软件的衔接及平稳运行，满足采购人需求，并确保通过验收。</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报价为完成项目采购内容清单所需的全部费用，包括系统软件、设备费、人工费（含福利、社保等）、材料费、标准附件、专业工具价、备品备件、运输、装卸、保险、税金以及安装、调试、质保服务以及竞争性磋商文件规定的其他费用等。</w:t>
            </w:r>
          </w:p>
        </w:tc>
        <w:tc>
          <w:tcPr>
            <w:tcW w:w="1429" w:type="dxa"/>
            <w:tcBorders>
              <w:top w:val="nil"/>
              <w:left w:val="nil"/>
              <w:bottom w:val="nil"/>
              <w:right w:val="nil"/>
            </w:tcBorders>
            <w:noWrap w:val="0"/>
            <w:vAlign w:val="center"/>
          </w:tcPr>
          <w:p w14:paraId="720B324D">
            <w:pPr>
              <w:keepNext/>
              <w:keepLines w:val="0"/>
              <w:widowControl/>
              <w:suppressLineNumbers w:val="0"/>
              <w:snapToGrid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r>
    </w:tbl>
    <w:p w14:paraId="642B00A8">
      <w:pPr>
        <w:rPr>
          <w:rFonts w:hint="eastAsia"/>
        </w:rPr>
      </w:pPr>
    </w:p>
    <w:sectPr>
      <w:pgSz w:w="11906" w:h="16838"/>
      <w:pgMar w:top="18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B3FC0"/>
    <w:rsid w:val="136B3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a heading"/>
    <w:basedOn w:val="1"/>
    <w:next w:val="1"/>
    <w:unhideWhenUsed/>
    <w:qFormat/>
    <w:uiPriority w:val="0"/>
    <w:pPr>
      <w:spacing w:before="120" w:line="360" w:lineRule="auto"/>
      <w:ind w:firstLine="200" w:firstLineChars="200"/>
    </w:pPr>
    <w:rPr>
      <w:rFonts w:hint="eastAsia"/>
      <w:b/>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2025-09-12T07:45:00Z</dcterms:created>
  <dc:creator>MAXคิดถึง</dc:creator>
  <cp:lastModifiedBy>MAXคิดถึง</cp:lastModifiedBy>
  <dcterms:modified xsi:type="dcterms:W3CDTF">2025-09-12T07:47:47Z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1E3E1F7445E64F3B90C8621446E904A4_11</vt:lpwstr>
  </property>
  <property fmtid="{D5CDD505-2E9C-101B-9397-08002B2CF9AE}" pid="4" name="KSOTemplateDocerSaveRecord">
    <vt:lpwstr>eyJoZGlkIjoiNDk2ZjNjNWMxMmU0ZWYxODY5MjEwOGQxZTFmNjZhZDkiLCJ1c2VySWQiOiI4MTIwNDA0OTIifQ==</vt:lpwstr>
  </property>
</Properties>
</file>